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C1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bookmarkStart w:id="0" w:name="_GoBack"/>
      <w:bookmarkEnd w:id="0"/>
      <w:r>
        <w:rPr>
          <w:rFonts w:hint="eastAsia" w:ascii="方正小标宋简体" w:hAnsi="方正小标宋简体" w:eastAsia="方正小标宋简体" w:cs="方正小标宋简体"/>
          <w:b/>
          <w:bCs/>
          <w:i w:val="0"/>
          <w:iCs w:val="0"/>
          <w:caps w:val="0"/>
          <w:color w:val="000000"/>
          <w:spacing w:val="0"/>
          <w:sz w:val="44"/>
          <w:szCs w:val="44"/>
        </w:rPr>
        <w:t>2025年度农业农村部软科学课题研究目录</w:t>
      </w:r>
    </w:p>
    <w:p w14:paraId="0155B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公告</w:t>
      </w:r>
    </w:p>
    <w:p w14:paraId="555743E4">
      <w:pPr>
        <w:rPr>
          <w:rFonts w:hint="eastAsia"/>
        </w:rPr>
      </w:pPr>
    </w:p>
    <w:p w14:paraId="202FE43C">
      <w:pPr>
        <w:rPr>
          <w:rFonts w:hint="eastAsia"/>
        </w:rPr>
      </w:pPr>
    </w:p>
    <w:p w14:paraId="2D7E1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为深入学习贯彻习近平总书记关于“三农”工作的重要论述，全面贯彻落实党的二十大和二十届二中、三中全会精神，落实中央经济工作会议、中央农村工作会议和中央</w:t>
      </w:r>
      <w:r>
        <w:rPr>
          <w:rFonts w:hint="eastAsia" w:ascii="仿宋" w:hAnsi="仿宋" w:eastAsia="仿宋" w:cs="仿宋"/>
          <w:i w:val="0"/>
          <w:iCs w:val="0"/>
          <w:caps w:val="0"/>
          <w:color w:val="000000"/>
          <w:spacing w:val="0"/>
          <w:sz w:val="32"/>
          <w:szCs w:val="32"/>
          <w:lang w:val="en-US"/>
        </w:rPr>
        <w:t>1</w:t>
      </w:r>
      <w:r>
        <w:rPr>
          <w:rFonts w:hint="eastAsia" w:ascii="仿宋" w:hAnsi="仿宋" w:eastAsia="仿宋" w:cs="仿宋"/>
          <w:i w:val="0"/>
          <w:iCs w:val="0"/>
          <w:caps w:val="0"/>
          <w:color w:val="000000"/>
          <w:spacing w:val="0"/>
          <w:sz w:val="32"/>
          <w:szCs w:val="32"/>
        </w:rPr>
        <w:t>号文件部署，农业农村部乡村振兴专家咨询委员会围绕服务农业农村发展大局，聚焦“三农”领域战略性、政策性、实践性重大问题，着眼解决“三农”工作中“硬骨头”、“老大难”问题，设置</w:t>
      </w:r>
      <w:r>
        <w:rPr>
          <w:rFonts w:hint="eastAsia" w:ascii="仿宋" w:hAnsi="仿宋" w:eastAsia="仿宋" w:cs="仿宋"/>
          <w:i w:val="0"/>
          <w:iCs w:val="0"/>
          <w:caps w:val="0"/>
          <w:color w:val="000000"/>
          <w:spacing w:val="0"/>
          <w:sz w:val="32"/>
          <w:szCs w:val="32"/>
          <w:lang w:val="en-US"/>
        </w:rPr>
        <w:t>2025</w:t>
      </w:r>
      <w:r>
        <w:rPr>
          <w:rFonts w:hint="eastAsia" w:ascii="仿宋" w:hAnsi="仿宋" w:eastAsia="仿宋" w:cs="仿宋"/>
          <w:i w:val="0"/>
          <w:iCs w:val="0"/>
          <w:caps w:val="0"/>
          <w:color w:val="000000"/>
          <w:spacing w:val="0"/>
          <w:sz w:val="32"/>
          <w:szCs w:val="32"/>
        </w:rPr>
        <w:t>年度软科学研究课题。现向社会公开征集课题研究承担单位，具体事项公告如下。 </w:t>
      </w:r>
    </w:p>
    <w:p w14:paraId="422CD6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Style w:val="6"/>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一、课题研究目录及要点 </w:t>
      </w:r>
    </w:p>
    <w:p w14:paraId="77E4C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w:t>
      </w:r>
      <w:r>
        <w:rPr>
          <w:rFonts w:hint="eastAsia" w:ascii="仿宋" w:hAnsi="仿宋" w:eastAsia="仿宋" w:cs="仿宋"/>
          <w:b/>
          <w:bCs/>
          <w:i w:val="0"/>
          <w:iCs w:val="0"/>
          <w:caps w:val="0"/>
          <w:color w:val="000000"/>
          <w:spacing w:val="0"/>
          <w:sz w:val="32"/>
          <w:szCs w:val="32"/>
        </w:rPr>
        <w:t>以新质生产力引领农业强国建设研究。</w:t>
      </w:r>
      <w:r>
        <w:rPr>
          <w:rFonts w:hint="eastAsia" w:ascii="仿宋" w:hAnsi="仿宋" w:eastAsia="仿宋" w:cs="仿宋"/>
          <w:i w:val="0"/>
          <w:iCs w:val="0"/>
          <w:caps w:val="0"/>
          <w:color w:val="000000"/>
          <w:spacing w:val="0"/>
          <w:sz w:val="32"/>
          <w:szCs w:val="32"/>
        </w:rPr>
        <w:t>阐释新质生产力推动农业发展变革和生产关系调整优化的作用机理，分析研判新质生产力在农业强国建设中的优势领域、应用实践、发展前景和瓶颈制约，立足我国国情、借鉴国际经验，研究提出以新质生产力引领农业强国建设的战略布局、主攻方向和重大举措。 </w:t>
      </w:r>
    </w:p>
    <w:p w14:paraId="167AB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2.</w:t>
      </w:r>
      <w:r>
        <w:rPr>
          <w:rFonts w:hint="eastAsia" w:ascii="仿宋" w:hAnsi="仿宋" w:eastAsia="仿宋" w:cs="仿宋"/>
          <w:b/>
          <w:bCs/>
          <w:i w:val="0"/>
          <w:iCs w:val="0"/>
          <w:caps w:val="0"/>
          <w:color w:val="000000"/>
          <w:spacing w:val="0"/>
          <w:sz w:val="32"/>
          <w:szCs w:val="32"/>
        </w:rPr>
        <w:t>“十五五”时期我国加快推进农业农村现代化研究。</w:t>
      </w:r>
      <w:r>
        <w:rPr>
          <w:rFonts w:hint="eastAsia" w:ascii="仿宋" w:hAnsi="仿宋" w:eastAsia="仿宋" w:cs="仿宋"/>
          <w:i w:val="0"/>
          <w:iCs w:val="0"/>
          <w:caps w:val="0"/>
          <w:color w:val="000000"/>
          <w:spacing w:val="0"/>
          <w:sz w:val="32"/>
          <w:szCs w:val="32"/>
        </w:rPr>
        <w:t>科学分析“十五五”时期农业农村发展面临的形势，着眼中国式现代化建设全局，分析我国推进农业农村现代化面临的重大理论和实践问题，研究提出“十五五”时期加快推进农业农村现代化的主要目标、重点任务、实现路径和政策措施。 </w:t>
      </w:r>
    </w:p>
    <w:p w14:paraId="65A74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3.</w:t>
      </w:r>
      <w:r>
        <w:rPr>
          <w:rFonts w:hint="eastAsia" w:ascii="仿宋" w:hAnsi="仿宋" w:eastAsia="仿宋" w:cs="仿宋"/>
          <w:b/>
          <w:bCs/>
          <w:i w:val="0"/>
          <w:iCs w:val="0"/>
          <w:caps w:val="0"/>
          <w:color w:val="000000"/>
          <w:spacing w:val="0"/>
          <w:sz w:val="32"/>
          <w:szCs w:val="32"/>
        </w:rPr>
        <w:t>大食物观视角下保障国家粮食安全的路径选择和政策优化研究。</w:t>
      </w:r>
      <w:r>
        <w:rPr>
          <w:rFonts w:hint="eastAsia" w:ascii="仿宋" w:hAnsi="仿宋" w:eastAsia="仿宋" w:cs="仿宋"/>
          <w:i w:val="0"/>
          <w:iCs w:val="0"/>
          <w:caps w:val="0"/>
          <w:color w:val="000000"/>
          <w:spacing w:val="0"/>
          <w:sz w:val="32"/>
          <w:szCs w:val="32"/>
        </w:rPr>
        <w:t>统筹考虑国内国际形势和食物消费需求变化，分析我国粮食安全面临的风险挑战，践行大农业观、大食物观，围绕更好满足居民营养需求，就如何统筹开发利用国土资源、构建多元化食物供给体系，研究提出有效保障国家粮食安全的总体思路、有效路径和创新举措。 </w:t>
      </w:r>
    </w:p>
    <w:p w14:paraId="118D2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4.</w:t>
      </w:r>
      <w:r>
        <w:rPr>
          <w:rFonts w:hint="eastAsia" w:ascii="仿宋" w:hAnsi="仿宋" w:eastAsia="仿宋" w:cs="仿宋"/>
          <w:b/>
          <w:bCs/>
          <w:i w:val="0"/>
          <w:iCs w:val="0"/>
          <w:caps w:val="0"/>
          <w:color w:val="000000"/>
          <w:spacing w:val="0"/>
          <w:sz w:val="32"/>
          <w:szCs w:val="32"/>
        </w:rPr>
        <w:t>粮食作物大面积单产提升瓶颈制约与对策研究。</w:t>
      </w:r>
      <w:r>
        <w:rPr>
          <w:rFonts w:hint="eastAsia" w:ascii="仿宋" w:hAnsi="仿宋" w:eastAsia="仿宋" w:cs="仿宋"/>
          <w:i w:val="0"/>
          <w:iCs w:val="0"/>
          <w:caps w:val="0"/>
          <w:color w:val="000000"/>
          <w:spacing w:val="0"/>
          <w:sz w:val="32"/>
          <w:szCs w:val="32"/>
        </w:rPr>
        <w:t>基于实地调研，全面分析粮食作物大面积单产提升在良田、良种、良机、良法等环节的制约瓶颈，重点从要素集成、主体带动、支撑保障、推广应用等方面，研究提出粮食作物大面积单产提升的有效路径和政策举措。 </w:t>
      </w:r>
    </w:p>
    <w:p w14:paraId="64013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5.</w:t>
      </w:r>
      <w:r>
        <w:rPr>
          <w:rFonts w:hint="eastAsia" w:ascii="仿宋" w:hAnsi="仿宋" w:eastAsia="仿宋" w:cs="仿宋"/>
          <w:b/>
          <w:bCs/>
          <w:i w:val="0"/>
          <w:iCs w:val="0"/>
          <w:caps w:val="0"/>
          <w:color w:val="000000"/>
          <w:spacing w:val="0"/>
          <w:sz w:val="32"/>
          <w:szCs w:val="32"/>
        </w:rPr>
        <w:t>促进国产大豆产销衔接和全产业链高质量发展研究。</w:t>
      </w:r>
      <w:r>
        <w:rPr>
          <w:rFonts w:hint="eastAsia" w:ascii="仿宋" w:hAnsi="仿宋" w:eastAsia="仿宋" w:cs="仿宋"/>
          <w:i w:val="0"/>
          <w:iCs w:val="0"/>
          <w:caps w:val="0"/>
          <w:color w:val="000000"/>
          <w:spacing w:val="0"/>
          <w:sz w:val="32"/>
          <w:szCs w:val="32"/>
        </w:rPr>
        <w:t>分析国产大豆销售不畅、竞争力不强等突出问题，着眼促进国产大豆全产业链高质量发展，立足生产、收购、加工、储备、流通、消费等环节，从维护产业安全和提高经济效益双重视角，提出优化补贴政策、加强储备调节、促进产销衔接、建设产业体系、完善贸易措施等方面的针对性支持举措。 </w:t>
      </w:r>
    </w:p>
    <w:p w14:paraId="59DCE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6.</w:t>
      </w:r>
      <w:r>
        <w:rPr>
          <w:rFonts w:hint="eastAsia" w:ascii="仿宋" w:hAnsi="仿宋" w:eastAsia="仿宋" w:cs="仿宋"/>
          <w:b/>
          <w:bCs/>
          <w:i w:val="0"/>
          <w:iCs w:val="0"/>
          <w:caps w:val="0"/>
          <w:color w:val="000000"/>
          <w:spacing w:val="0"/>
          <w:sz w:val="32"/>
          <w:szCs w:val="32"/>
        </w:rPr>
        <w:t>高标准农田建设质量全过程监管机制研究。</w:t>
      </w:r>
      <w:r>
        <w:rPr>
          <w:rFonts w:hint="eastAsia" w:ascii="仿宋" w:hAnsi="仿宋" w:eastAsia="仿宋" w:cs="仿宋"/>
          <w:i w:val="0"/>
          <w:iCs w:val="0"/>
          <w:caps w:val="0"/>
          <w:color w:val="000000"/>
          <w:spacing w:val="0"/>
          <w:sz w:val="32"/>
          <w:szCs w:val="32"/>
        </w:rPr>
        <w:t>基于典型地区调研，围绕规划、设计、立项、施工、验收、管护等全过程，分析高标准农田建设各环节存在的深层次问题，提出建立健全高标准农田建设质量全过程监管长效机制、切实提升建设标准和质量的政策措施。 </w:t>
      </w:r>
    </w:p>
    <w:p w14:paraId="2125B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7.</w:t>
      </w:r>
      <w:r>
        <w:rPr>
          <w:rFonts w:hint="eastAsia" w:ascii="仿宋" w:hAnsi="仿宋" w:eastAsia="仿宋" w:cs="仿宋"/>
          <w:b/>
          <w:bCs/>
          <w:i w:val="0"/>
          <w:iCs w:val="0"/>
          <w:caps w:val="0"/>
          <w:color w:val="000000"/>
          <w:spacing w:val="0"/>
          <w:sz w:val="32"/>
          <w:szCs w:val="32"/>
        </w:rPr>
        <w:t>优化耕地“非粮化”整治政策措施研究——基于典型案例调查。</w:t>
      </w:r>
      <w:r>
        <w:rPr>
          <w:rFonts w:hint="eastAsia" w:ascii="仿宋" w:hAnsi="仿宋" w:eastAsia="仿宋" w:cs="仿宋"/>
          <w:i w:val="0"/>
          <w:iCs w:val="0"/>
          <w:caps w:val="0"/>
          <w:color w:val="000000"/>
          <w:spacing w:val="0"/>
          <w:sz w:val="32"/>
          <w:szCs w:val="32"/>
        </w:rPr>
        <w:t>通过不同类型地区典型调研，总结分析整治耕地“非粮化”政策执行的经验做法及面临的实践困境，统筹考虑粮食生产和重要农产品保障、农民增收的关系，研究提出因地制宜推进耕地“非粮化”整治的优化策略和政策措施。 </w:t>
      </w:r>
    </w:p>
    <w:p w14:paraId="790127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8.</w:t>
      </w:r>
      <w:r>
        <w:rPr>
          <w:rFonts w:hint="eastAsia" w:ascii="仿宋" w:hAnsi="仿宋" w:eastAsia="仿宋" w:cs="仿宋"/>
          <w:b/>
          <w:bCs/>
          <w:i w:val="0"/>
          <w:iCs w:val="0"/>
          <w:caps w:val="0"/>
          <w:color w:val="000000"/>
          <w:spacing w:val="0"/>
          <w:sz w:val="32"/>
          <w:szCs w:val="32"/>
        </w:rPr>
        <w:t>因地制宜推进撂荒地复耕复垦长效机制研究。</w:t>
      </w:r>
      <w:r>
        <w:rPr>
          <w:rFonts w:hint="eastAsia" w:ascii="仿宋" w:hAnsi="仿宋" w:eastAsia="仿宋" w:cs="仿宋"/>
          <w:i w:val="0"/>
          <w:iCs w:val="0"/>
          <w:caps w:val="0"/>
          <w:color w:val="000000"/>
          <w:spacing w:val="0"/>
          <w:sz w:val="32"/>
          <w:szCs w:val="32"/>
        </w:rPr>
        <w:t>通过政策梳理和实地调研，分析当前撂荒地主要成因、整治现状和难点堵点，综合考虑耕地类型、条件禀赋、区域特点、耕作传统等因素，研究提出因地制宜推进撂荒地复耕复垦长效机制的政策建议。 </w:t>
      </w:r>
    </w:p>
    <w:p w14:paraId="471930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9.</w:t>
      </w:r>
      <w:r>
        <w:rPr>
          <w:rFonts w:hint="eastAsia" w:ascii="仿宋" w:hAnsi="仿宋" w:eastAsia="仿宋" w:cs="仿宋"/>
          <w:b/>
          <w:bCs/>
          <w:i w:val="0"/>
          <w:iCs w:val="0"/>
          <w:caps w:val="0"/>
          <w:color w:val="000000"/>
          <w:spacing w:val="0"/>
          <w:sz w:val="32"/>
          <w:szCs w:val="32"/>
        </w:rPr>
        <w:t>学习运用“千万工程”经验典型模式与机制创新研究。</w:t>
      </w:r>
      <w:r>
        <w:rPr>
          <w:rFonts w:hint="eastAsia" w:ascii="仿宋" w:hAnsi="仿宋" w:eastAsia="仿宋" w:cs="仿宋"/>
          <w:i w:val="0"/>
          <w:iCs w:val="0"/>
          <w:caps w:val="0"/>
          <w:color w:val="000000"/>
          <w:spacing w:val="0"/>
          <w:sz w:val="32"/>
          <w:szCs w:val="32"/>
        </w:rPr>
        <w:t>通过实地调研，梳理各地在推进乡村全面振兴中学习运用“千万工程”经验的理念思路、工作方法、创新举措，围绕政策协同、资源整合、群众参与、系统推进等关键环节，总结可复制可推广的典型模式和工作机制。 </w:t>
      </w:r>
    </w:p>
    <w:p w14:paraId="1F08B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10.</w:t>
      </w:r>
      <w:r>
        <w:rPr>
          <w:rFonts w:hint="eastAsia" w:ascii="仿宋" w:hAnsi="仿宋" w:eastAsia="仿宋" w:cs="仿宋"/>
          <w:b/>
          <w:bCs/>
          <w:i w:val="0"/>
          <w:iCs w:val="0"/>
          <w:caps w:val="0"/>
          <w:color w:val="000000"/>
          <w:spacing w:val="0"/>
          <w:sz w:val="32"/>
          <w:szCs w:val="32"/>
        </w:rPr>
        <w:t>人工智能在农业领域应用场景研究。</w:t>
      </w:r>
      <w:r>
        <w:rPr>
          <w:rFonts w:hint="eastAsia" w:ascii="仿宋" w:hAnsi="仿宋" w:eastAsia="仿宋" w:cs="仿宋"/>
          <w:i w:val="0"/>
          <w:iCs w:val="0"/>
          <w:caps w:val="0"/>
          <w:color w:val="000000"/>
          <w:spacing w:val="0"/>
          <w:sz w:val="32"/>
          <w:szCs w:val="32"/>
        </w:rPr>
        <w:t>通过国内外典型案例分析，总结人工智能技术应用于农业生产、经营、科研、管理和服务等环节的典型模式和成功经验，立足我国农业生产经营特点、发展阶段和实践需求，研究提出在农业领域丰富人工智能应用场景和优化推广应用环境的总体思路与政策建议。 </w:t>
      </w:r>
    </w:p>
    <w:p w14:paraId="50943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11.</w:t>
      </w:r>
      <w:r>
        <w:rPr>
          <w:rFonts w:hint="eastAsia" w:ascii="仿宋" w:hAnsi="仿宋" w:eastAsia="仿宋" w:cs="仿宋"/>
          <w:b/>
          <w:bCs/>
          <w:i w:val="0"/>
          <w:iCs w:val="0"/>
          <w:caps w:val="0"/>
          <w:color w:val="000000"/>
          <w:spacing w:val="0"/>
          <w:sz w:val="32"/>
          <w:szCs w:val="32"/>
        </w:rPr>
        <w:t>农产品加工业高质量发展与联农带农机制研究。</w:t>
      </w:r>
      <w:r>
        <w:rPr>
          <w:rFonts w:hint="eastAsia" w:ascii="仿宋" w:hAnsi="仿宋" w:eastAsia="仿宋" w:cs="仿宋"/>
          <w:i w:val="0"/>
          <w:iCs w:val="0"/>
          <w:caps w:val="0"/>
          <w:color w:val="000000"/>
          <w:spacing w:val="0"/>
          <w:sz w:val="32"/>
          <w:szCs w:val="32"/>
        </w:rPr>
        <w:t>总结各地做足做活“粮头食尾”、“畜头肉尾”、“农头工尾”文章的好经验好做法好机制，重点围绕产业链延伸、价值链提升、利益链完善等关键领域，聚焦促进农产品加工业转型升级、农民更多分享产业增值收益等关键问题，研究提出政策建议。 </w:t>
      </w:r>
    </w:p>
    <w:p w14:paraId="28A51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12.</w:t>
      </w:r>
      <w:r>
        <w:rPr>
          <w:rFonts w:hint="eastAsia" w:ascii="仿宋" w:hAnsi="仿宋" w:eastAsia="仿宋" w:cs="仿宋"/>
          <w:b/>
          <w:bCs/>
          <w:i w:val="0"/>
          <w:iCs w:val="0"/>
          <w:caps w:val="0"/>
          <w:color w:val="000000"/>
          <w:spacing w:val="0"/>
          <w:sz w:val="32"/>
          <w:szCs w:val="32"/>
        </w:rPr>
        <w:t>城乡融合背景下完善乡村治理机制研究。</w:t>
      </w:r>
      <w:r>
        <w:rPr>
          <w:rFonts w:hint="eastAsia" w:ascii="仿宋" w:hAnsi="仿宋" w:eastAsia="仿宋" w:cs="仿宋"/>
          <w:i w:val="0"/>
          <w:iCs w:val="0"/>
          <w:caps w:val="0"/>
          <w:color w:val="000000"/>
          <w:spacing w:val="0"/>
          <w:sz w:val="32"/>
          <w:szCs w:val="32"/>
        </w:rPr>
        <w:t>顺应城乡关系演进、人口结构变化、村庄布局调整等趋势，深入分析当前乡村治理机制存在的矛盾问题，围绕健全党组织领导的自治、法治、德治相结合的城乡基层治理体系，研究提出完善乡村治理机制、推进乡村治理体系和治理能力现代化的政策建议。 </w:t>
      </w:r>
    </w:p>
    <w:p w14:paraId="1897D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13.</w:t>
      </w:r>
      <w:r>
        <w:rPr>
          <w:rFonts w:hint="eastAsia" w:ascii="仿宋" w:hAnsi="仿宋" w:eastAsia="仿宋" w:cs="仿宋"/>
          <w:b/>
          <w:bCs/>
          <w:i w:val="0"/>
          <w:iCs w:val="0"/>
          <w:caps w:val="0"/>
          <w:color w:val="000000"/>
          <w:spacing w:val="0"/>
          <w:sz w:val="32"/>
          <w:szCs w:val="32"/>
        </w:rPr>
        <w:t>因地制宜推进乡村建设路径研究。</w:t>
      </w:r>
      <w:r>
        <w:rPr>
          <w:rFonts w:hint="eastAsia" w:ascii="仿宋" w:hAnsi="仿宋" w:eastAsia="仿宋" w:cs="仿宋"/>
          <w:i w:val="0"/>
          <w:iCs w:val="0"/>
          <w:caps w:val="0"/>
          <w:color w:val="000000"/>
          <w:spacing w:val="0"/>
          <w:sz w:val="32"/>
          <w:szCs w:val="32"/>
        </w:rPr>
        <w:t>通过典型地区调研，梳理不同类型村庄的发展现状、发展趋势和发展需求等，总结各地推进乡村建设的主要做法和典型模式，针对不同类型村庄，聚焦规划、布局、实施，研究提出完善乡村建设推进机制的有效路径。 </w:t>
      </w:r>
    </w:p>
    <w:p w14:paraId="7C9C71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14.</w:t>
      </w:r>
      <w:r>
        <w:rPr>
          <w:rFonts w:hint="eastAsia" w:ascii="仿宋" w:hAnsi="仿宋" w:eastAsia="仿宋" w:cs="仿宋"/>
          <w:b/>
          <w:bCs/>
          <w:i w:val="0"/>
          <w:iCs w:val="0"/>
          <w:caps w:val="0"/>
          <w:color w:val="000000"/>
          <w:spacing w:val="0"/>
          <w:sz w:val="32"/>
          <w:szCs w:val="32"/>
        </w:rPr>
        <w:t>农村问题厕所整改对策与建管长效机制研究。</w:t>
      </w:r>
      <w:r>
        <w:rPr>
          <w:rFonts w:hint="eastAsia" w:ascii="仿宋" w:hAnsi="仿宋" w:eastAsia="仿宋" w:cs="仿宋"/>
          <w:i w:val="0"/>
          <w:iCs w:val="0"/>
          <w:caps w:val="0"/>
          <w:color w:val="000000"/>
          <w:spacing w:val="0"/>
          <w:sz w:val="32"/>
          <w:szCs w:val="32"/>
        </w:rPr>
        <w:t>针对部分地区在农村改厕过程中出现“不好用”、“不能用”等问题，开展实地调研，系统分析农村厕所建设管护机制面临的难点堵点，围绕全面提升改厕质量和实效，聚焦重点问题、薄弱环节，研究提出问题厕所整改对策和农村厕所建管长效机制。 </w:t>
      </w:r>
    </w:p>
    <w:p w14:paraId="56ED4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15.</w:t>
      </w:r>
      <w:r>
        <w:rPr>
          <w:rFonts w:hint="eastAsia" w:ascii="仿宋" w:hAnsi="仿宋" w:eastAsia="仿宋" w:cs="仿宋"/>
          <w:b/>
          <w:bCs/>
          <w:i w:val="0"/>
          <w:iCs w:val="0"/>
          <w:caps w:val="0"/>
          <w:color w:val="000000"/>
          <w:spacing w:val="0"/>
          <w:sz w:val="32"/>
          <w:szCs w:val="32"/>
        </w:rPr>
        <w:t>优化农业补贴政策体系研究。</w:t>
      </w:r>
      <w:r>
        <w:rPr>
          <w:rFonts w:hint="eastAsia" w:ascii="仿宋" w:hAnsi="仿宋" w:eastAsia="仿宋" w:cs="仿宋"/>
          <w:i w:val="0"/>
          <w:iCs w:val="0"/>
          <w:caps w:val="0"/>
          <w:color w:val="000000"/>
          <w:spacing w:val="0"/>
          <w:sz w:val="32"/>
          <w:szCs w:val="32"/>
        </w:rPr>
        <w:t>全面分析现行农业补贴政策存在的问题不足，充分借鉴世界农业强国经验做法，研究提出进一步提升农业补贴政策的指向性、精准性和实效性的思路建议。 </w:t>
      </w:r>
    </w:p>
    <w:p w14:paraId="5E139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16.</w:t>
      </w:r>
      <w:r>
        <w:rPr>
          <w:rFonts w:hint="eastAsia" w:ascii="仿宋" w:hAnsi="仿宋" w:eastAsia="仿宋" w:cs="仿宋"/>
          <w:b/>
          <w:bCs/>
          <w:i w:val="0"/>
          <w:iCs w:val="0"/>
          <w:caps w:val="0"/>
          <w:color w:val="000000"/>
          <w:spacing w:val="0"/>
          <w:sz w:val="32"/>
          <w:szCs w:val="32"/>
        </w:rPr>
        <w:t>推动小农生产方式现代化与完善农业经营体系研究。</w:t>
      </w:r>
      <w:r>
        <w:rPr>
          <w:rFonts w:hint="eastAsia" w:ascii="仿宋" w:hAnsi="仿宋" w:eastAsia="仿宋" w:cs="仿宋"/>
          <w:i w:val="0"/>
          <w:iCs w:val="0"/>
          <w:caps w:val="0"/>
          <w:color w:val="000000"/>
          <w:spacing w:val="0"/>
          <w:sz w:val="32"/>
          <w:szCs w:val="32"/>
        </w:rPr>
        <w:t>分析“大国小农”国情下的小农户发展变化趋势，研究如何进一步完善农业经营体系，引导小农户更有效对接先进适用品种、技术、装备和组织形式等现代生产要素，推动小农户走上现代农业发展轨道。 </w:t>
      </w:r>
    </w:p>
    <w:p w14:paraId="09481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17.</w:t>
      </w:r>
      <w:r>
        <w:rPr>
          <w:rFonts w:hint="eastAsia" w:ascii="仿宋" w:hAnsi="仿宋" w:eastAsia="仿宋" w:cs="仿宋"/>
          <w:b/>
          <w:bCs/>
          <w:i w:val="0"/>
          <w:iCs w:val="0"/>
          <w:caps w:val="0"/>
          <w:color w:val="000000"/>
          <w:spacing w:val="0"/>
          <w:sz w:val="32"/>
          <w:szCs w:val="32"/>
        </w:rPr>
        <w:t>分层分类培育壮大农业科技领军企业研究。</w:t>
      </w:r>
      <w:r>
        <w:rPr>
          <w:rFonts w:hint="eastAsia" w:ascii="仿宋" w:hAnsi="仿宋" w:eastAsia="仿宋" w:cs="仿宋"/>
          <w:i w:val="0"/>
          <w:iCs w:val="0"/>
          <w:caps w:val="0"/>
          <w:color w:val="000000"/>
          <w:spacing w:val="0"/>
          <w:sz w:val="32"/>
          <w:szCs w:val="32"/>
        </w:rPr>
        <w:t>针对当前农业科技企业“小散弱”、领军企业严重不足等突出问题，立足强化农业科技企业主体地位、推动农业科技创新和产业创新深度融合，聚焦种业、农机装备、农业投入品、农产品加工等重点领域，围绕打造农业科技企业阵型，发展壮大龙头型、高速成长型等农业科技领军企业提出政策建议。 </w:t>
      </w:r>
    </w:p>
    <w:p w14:paraId="31A00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18.</w:t>
      </w:r>
      <w:r>
        <w:rPr>
          <w:rFonts w:hint="eastAsia" w:ascii="仿宋" w:hAnsi="仿宋" w:eastAsia="仿宋" w:cs="仿宋"/>
          <w:b/>
          <w:bCs/>
          <w:i w:val="0"/>
          <w:iCs w:val="0"/>
          <w:caps w:val="0"/>
          <w:color w:val="000000"/>
          <w:spacing w:val="0"/>
          <w:sz w:val="32"/>
          <w:szCs w:val="32"/>
        </w:rPr>
        <w:t>农村老龄化与养老问题研究。</w:t>
      </w:r>
      <w:r>
        <w:rPr>
          <w:rFonts w:hint="eastAsia" w:ascii="仿宋" w:hAnsi="仿宋" w:eastAsia="仿宋" w:cs="仿宋"/>
          <w:i w:val="0"/>
          <w:iCs w:val="0"/>
          <w:caps w:val="0"/>
          <w:color w:val="000000"/>
          <w:spacing w:val="0"/>
          <w:sz w:val="32"/>
          <w:szCs w:val="32"/>
        </w:rPr>
        <w:t>分析农村地区老龄化趋势与养老面临的突出问题，评估比较各地发展农村养老事业不同模式，提出适当提高农村养老保障水平、完善农村养老服务体系的思路建议。 </w:t>
      </w:r>
    </w:p>
    <w:p w14:paraId="5EBC6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lang w:val="en-US"/>
        </w:rPr>
        <w:t>19.</w:t>
      </w:r>
      <w:r>
        <w:rPr>
          <w:rFonts w:hint="eastAsia" w:ascii="仿宋" w:hAnsi="仿宋" w:eastAsia="仿宋" w:cs="仿宋"/>
          <w:b/>
          <w:bCs/>
          <w:i w:val="0"/>
          <w:iCs w:val="0"/>
          <w:caps w:val="0"/>
          <w:color w:val="000000"/>
          <w:spacing w:val="0"/>
          <w:sz w:val="32"/>
          <w:szCs w:val="32"/>
        </w:rPr>
        <w:t>统筹农产品进口与国内农业产业安全研究。</w:t>
      </w:r>
      <w:r>
        <w:rPr>
          <w:rFonts w:hint="eastAsia" w:ascii="仿宋" w:hAnsi="仿宋" w:eastAsia="仿宋" w:cs="仿宋"/>
          <w:i w:val="0"/>
          <w:iCs w:val="0"/>
          <w:caps w:val="0"/>
          <w:color w:val="000000"/>
          <w:spacing w:val="0"/>
          <w:sz w:val="32"/>
          <w:szCs w:val="32"/>
        </w:rPr>
        <w:t>着眼我国农产品进口现状、需求前景和国际贸易形势，研判农产品进口的未来趋势及影响，提出完善农产品进口政策、建立农产品进口与国内产业安全协同机制的对策建议。 </w:t>
      </w:r>
    </w:p>
    <w:p w14:paraId="6CCEC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3" w:firstLineChars="200"/>
        <w:jc w:val="both"/>
        <w:textAlignment w:val="auto"/>
        <w:rPr>
          <w:rStyle w:val="6"/>
          <w:rFonts w:hint="eastAsia" w:ascii="黑体" w:hAnsi="黑体" w:eastAsia="黑体" w:cs="黑体"/>
          <w:b/>
          <w:bCs w:val="0"/>
          <w:i w:val="0"/>
          <w:iCs w:val="0"/>
          <w:caps w:val="0"/>
          <w:color w:val="000000"/>
          <w:spacing w:val="0"/>
          <w:sz w:val="32"/>
          <w:szCs w:val="32"/>
        </w:rPr>
      </w:pPr>
      <w:r>
        <w:rPr>
          <w:rStyle w:val="6"/>
          <w:rFonts w:hint="eastAsia" w:ascii="黑体" w:hAnsi="黑体" w:eastAsia="黑体" w:cs="黑体"/>
          <w:b/>
          <w:bCs w:val="0"/>
          <w:i w:val="0"/>
          <w:iCs w:val="0"/>
          <w:caps w:val="0"/>
          <w:color w:val="000000"/>
          <w:spacing w:val="0"/>
          <w:sz w:val="32"/>
          <w:szCs w:val="32"/>
        </w:rPr>
        <w:t>二、申报要求 </w:t>
      </w:r>
    </w:p>
    <w:p w14:paraId="02ABE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1.</w:t>
      </w:r>
      <w:r>
        <w:rPr>
          <w:rFonts w:hint="eastAsia" w:ascii="仿宋" w:hAnsi="仿宋" w:eastAsia="仿宋" w:cs="仿宋"/>
          <w:i w:val="0"/>
          <w:iCs w:val="0"/>
          <w:caps w:val="0"/>
          <w:color w:val="000000"/>
          <w:spacing w:val="0"/>
          <w:sz w:val="32"/>
          <w:szCs w:val="32"/>
        </w:rPr>
        <w:t>课题申请人应符合以下条件：各类教学或科研单位工作人员，具备副高级以上（含）专业技术职称（职务），或者具有大学本科以上学历、并由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全日制在读研究生不能申请，符合申报要求的在站博士后人员可申请，其中全脱产博士后须从所在博士后工作站申请，在职博士后可以从所在工作单位或博士后工作站申请。 </w:t>
      </w:r>
    </w:p>
    <w:p w14:paraId="77A55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2.</w:t>
      </w:r>
      <w:r>
        <w:rPr>
          <w:rFonts w:hint="eastAsia" w:ascii="仿宋" w:hAnsi="仿宋" w:eastAsia="仿宋" w:cs="仿宋"/>
          <w:i w:val="0"/>
          <w:iCs w:val="0"/>
          <w:caps w:val="0"/>
          <w:color w:val="000000"/>
          <w:spacing w:val="0"/>
          <w:sz w:val="32"/>
          <w:szCs w:val="32"/>
        </w:rPr>
        <w:t>课题申请单位应符合以下条件：在相关领域具有较雄厚的学术资源和研究实力，能够提供开展研究的必要条件；具有独立法人，设有独立科研管理和财务资产职能部门；对相关材料真实性进行审核；承担课题项目管理和经费管理职责并承诺信誉保证（申请单位为高校的，单位名称请填写高校名称，不填写二级学院，盖章为对应的校章）。 </w:t>
      </w:r>
    </w:p>
    <w:p w14:paraId="69FD0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3.</w:t>
      </w:r>
      <w:r>
        <w:rPr>
          <w:rFonts w:hint="eastAsia" w:ascii="仿宋" w:hAnsi="仿宋" w:eastAsia="仿宋" w:cs="仿宋"/>
          <w:i w:val="0"/>
          <w:iCs w:val="0"/>
          <w:caps w:val="0"/>
          <w:color w:val="000000"/>
          <w:spacing w:val="0"/>
          <w:sz w:val="32"/>
          <w:szCs w:val="32"/>
        </w:rPr>
        <w:t>农业农村部乡村振兴专家咨询委员会办公室从发布研究目录之日起受理申请。申请人请直接从农业农村部官方网站下载课题研究计划书。申报阶段不需要邮寄纸质材料，电子版材料请于申报截止日期前发送至</w:t>
      </w:r>
      <w:r>
        <w:rPr>
          <w:rFonts w:hint="eastAsia" w:ascii="仿宋" w:hAnsi="仿宋" w:eastAsia="仿宋" w:cs="仿宋"/>
          <w:i w:val="0"/>
          <w:iCs w:val="0"/>
          <w:caps w:val="0"/>
          <w:color w:val="000000"/>
          <w:spacing w:val="0"/>
          <w:sz w:val="32"/>
          <w:szCs w:val="32"/>
          <w:lang w:val="en-US"/>
        </w:rPr>
        <w:t>rkxc@agri.gov.cn</w:t>
      </w:r>
      <w:r>
        <w:rPr>
          <w:rFonts w:hint="eastAsia" w:ascii="仿宋" w:hAnsi="仿宋" w:eastAsia="仿宋" w:cs="仿宋"/>
          <w:i w:val="0"/>
          <w:iCs w:val="0"/>
          <w:caps w:val="0"/>
          <w:color w:val="000000"/>
          <w:spacing w:val="0"/>
          <w:sz w:val="32"/>
          <w:szCs w:val="32"/>
        </w:rPr>
        <w:t>，邮件主题及研究计划书命名方式为“课题序号—申请单位—申请人”（课题序号为阿拉伯数字）。电子版材料包括研究计划书</w:t>
      </w:r>
      <w:r>
        <w:rPr>
          <w:rFonts w:hint="eastAsia" w:ascii="仿宋" w:hAnsi="仿宋" w:eastAsia="仿宋" w:cs="仿宋"/>
          <w:i w:val="0"/>
          <w:iCs w:val="0"/>
          <w:caps w:val="0"/>
          <w:color w:val="000000"/>
          <w:spacing w:val="0"/>
          <w:sz w:val="32"/>
          <w:szCs w:val="32"/>
          <w:lang w:val="en-US"/>
        </w:rPr>
        <w:t>Word</w:t>
      </w:r>
      <w:r>
        <w:rPr>
          <w:rFonts w:hint="eastAsia" w:ascii="仿宋" w:hAnsi="仿宋" w:eastAsia="仿宋" w:cs="仿宋"/>
          <w:i w:val="0"/>
          <w:iCs w:val="0"/>
          <w:caps w:val="0"/>
          <w:color w:val="000000"/>
          <w:spacing w:val="0"/>
          <w:sz w:val="32"/>
          <w:szCs w:val="32"/>
        </w:rPr>
        <w:t>版本（盖章页须加盖公章与团队成员签字页扫描后一并插入）、第二部分</w:t>
      </w:r>
      <w:r>
        <w:rPr>
          <w:rFonts w:hint="eastAsia" w:ascii="仿宋" w:hAnsi="仿宋" w:eastAsia="仿宋" w:cs="仿宋"/>
          <w:i w:val="0"/>
          <w:iCs w:val="0"/>
          <w:caps w:val="0"/>
          <w:color w:val="000000"/>
          <w:spacing w:val="0"/>
          <w:sz w:val="32"/>
          <w:szCs w:val="32"/>
          <w:lang w:val="en-US"/>
        </w:rPr>
        <w:t>Word</w:t>
      </w:r>
      <w:r>
        <w:rPr>
          <w:rFonts w:hint="eastAsia" w:ascii="仿宋" w:hAnsi="仿宋" w:eastAsia="仿宋" w:cs="仿宋"/>
          <w:i w:val="0"/>
          <w:iCs w:val="0"/>
          <w:caps w:val="0"/>
          <w:color w:val="000000"/>
          <w:spacing w:val="0"/>
          <w:sz w:val="32"/>
          <w:szCs w:val="32"/>
        </w:rPr>
        <w:t>版本（课题评审材料，不可包含申请人或申请单位等可能影响盲审结果的信息，否则将取消申报资格）。 </w:t>
      </w:r>
    </w:p>
    <w:p w14:paraId="7F305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4.</w:t>
      </w:r>
      <w:r>
        <w:rPr>
          <w:rFonts w:hint="eastAsia" w:ascii="仿宋" w:hAnsi="仿宋" w:eastAsia="仿宋" w:cs="仿宋"/>
          <w:i w:val="0"/>
          <w:iCs w:val="0"/>
          <w:caps w:val="0"/>
          <w:color w:val="000000"/>
          <w:spacing w:val="0"/>
          <w:sz w:val="32"/>
          <w:szCs w:val="32"/>
        </w:rPr>
        <w:t>农业农村部乡村振兴专家咨询委员会办公室负责组织对研究课题计划书进行审核，按程序择优遴选。结果确定后，将与入选单位签订正式合同，每个课题给予一定经费资助。 </w:t>
      </w:r>
    </w:p>
    <w:p w14:paraId="2C4B0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5.</w:t>
      </w:r>
      <w:r>
        <w:rPr>
          <w:rFonts w:hint="eastAsia" w:ascii="仿宋" w:hAnsi="仿宋" w:eastAsia="仿宋" w:cs="仿宋"/>
          <w:i w:val="0"/>
          <w:iCs w:val="0"/>
          <w:caps w:val="0"/>
          <w:color w:val="000000"/>
          <w:spacing w:val="0"/>
          <w:sz w:val="32"/>
          <w:szCs w:val="32"/>
        </w:rPr>
        <w:t>为避免一题多报、交叉申请和重复立项，确保申请人有足够的时间和精力从事课题研究，每个申请人只能申报</w:t>
      </w:r>
      <w:r>
        <w:rPr>
          <w:rFonts w:hint="eastAsia" w:ascii="仿宋" w:hAnsi="仿宋" w:eastAsia="仿宋" w:cs="仿宋"/>
          <w:i w:val="0"/>
          <w:iCs w:val="0"/>
          <w:caps w:val="0"/>
          <w:color w:val="000000"/>
          <w:spacing w:val="0"/>
          <w:sz w:val="32"/>
          <w:szCs w:val="32"/>
          <w:lang w:val="en-US"/>
        </w:rPr>
        <w:t>1</w:t>
      </w:r>
      <w:r>
        <w:rPr>
          <w:rFonts w:hint="eastAsia" w:ascii="仿宋" w:hAnsi="仿宋" w:eastAsia="仿宋" w:cs="仿宋"/>
          <w:i w:val="0"/>
          <w:iCs w:val="0"/>
          <w:caps w:val="0"/>
          <w:color w:val="000000"/>
          <w:spacing w:val="0"/>
          <w:sz w:val="32"/>
          <w:szCs w:val="32"/>
        </w:rPr>
        <w:t>个题目，不得通过更换申请单位或将内容基本相同的申报材料以不同申请人名义进行申报。申请人可以作为其他课题组成员参与其他课题申报。凡以在研或已结题的各级各类项目、博士学位论文或博士后出站报告等为基础申请软科学研究课题的，须在课题申请书中注明所申请课题与已承担项目的联系和区别，且不得以内容基本相同的同一成果申请结题。申报课题须如实填写申请材料，课题成果应保证质量，并保证没有知识产权争议。凡存在弄虚作假、抄袭剽窃、拼凑应付等不端行为的，一经查实，取消今后五年内申请我部软科学课题的资格。 </w:t>
      </w:r>
    </w:p>
    <w:p w14:paraId="2E090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6.</w:t>
      </w:r>
      <w:r>
        <w:rPr>
          <w:rFonts w:hint="eastAsia" w:ascii="仿宋" w:hAnsi="仿宋" w:eastAsia="仿宋" w:cs="仿宋"/>
          <w:i w:val="0"/>
          <w:iCs w:val="0"/>
          <w:caps w:val="0"/>
          <w:color w:val="000000"/>
          <w:spacing w:val="0"/>
          <w:sz w:val="32"/>
          <w:szCs w:val="32"/>
        </w:rPr>
        <w:t>课题研究成果知识产权和著作权归农业农村部乡村振兴专家咨询委员会所有。课题负责人要严格按时限要求提交研究成果（以项目任务书为准）。研究成果著作权包括但不限于作品的发表权、署名权、修改权、复制权、发行权、信息网络传播权、汇编权和其他权利。 </w:t>
      </w:r>
    </w:p>
    <w:p w14:paraId="6DD22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7.</w:t>
      </w:r>
      <w:r>
        <w:rPr>
          <w:rFonts w:hint="eastAsia" w:ascii="仿宋" w:hAnsi="仿宋" w:eastAsia="仿宋" w:cs="仿宋"/>
          <w:i w:val="0"/>
          <w:iCs w:val="0"/>
          <w:caps w:val="0"/>
          <w:color w:val="000000"/>
          <w:spacing w:val="0"/>
          <w:sz w:val="32"/>
          <w:szCs w:val="32"/>
        </w:rPr>
        <w:t>课题执行时间为签订合同之日起至</w:t>
      </w:r>
      <w:r>
        <w:rPr>
          <w:rFonts w:hint="eastAsia" w:ascii="仿宋" w:hAnsi="仿宋" w:eastAsia="仿宋" w:cs="仿宋"/>
          <w:i w:val="0"/>
          <w:iCs w:val="0"/>
          <w:caps w:val="0"/>
          <w:color w:val="000000"/>
          <w:spacing w:val="0"/>
          <w:sz w:val="32"/>
          <w:szCs w:val="32"/>
          <w:lang w:val="en-US"/>
        </w:rPr>
        <w:t>2025</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rPr>
        <w:t>12</w:t>
      </w:r>
      <w:r>
        <w:rPr>
          <w:rFonts w:hint="eastAsia" w:ascii="仿宋" w:hAnsi="仿宋" w:eastAsia="仿宋" w:cs="仿宋"/>
          <w:i w:val="0"/>
          <w:iCs w:val="0"/>
          <w:caps w:val="0"/>
          <w:color w:val="000000"/>
          <w:spacing w:val="0"/>
          <w:sz w:val="32"/>
          <w:szCs w:val="32"/>
        </w:rPr>
        <w:t>月底，部分课题根据研究需要另行规定。 </w:t>
      </w:r>
    </w:p>
    <w:p w14:paraId="51E21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rPr>
        <w:t>8.</w:t>
      </w:r>
      <w:r>
        <w:rPr>
          <w:rFonts w:hint="eastAsia" w:ascii="仿宋" w:hAnsi="仿宋" w:eastAsia="仿宋" w:cs="仿宋"/>
          <w:i w:val="0"/>
          <w:iCs w:val="0"/>
          <w:caps w:val="0"/>
          <w:color w:val="000000"/>
          <w:spacing w:val="0"/>
          <w:sz w:val="32"/>
          <w:szCs w:val="32"/>
        </w:rPr>
        <w:t>申报截止日期为</w:t>
      </w:r>
      <w:r>
        <w:rPr>
          <w:rFonts w:hint="eastAsia" w:ascii="仿宋" w:hAnsi="仿宋" w:eastAsia="仿宋" w:cs="仿宋"/>
          <w:i w:val="0"/>
          <w:iCs w:val="0"/>
          <w:caps w:val="0"/>
          <w:color w:val="000000"/>
          <w:spacing w:val="0"/>
          <w:sz w:val="32"/>
          <w:szCs w:val="32"/>
          <w:lang w:val="en-US"/>
        </w:rPr>
        <w:t>2025</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rPr>
        <w:t>3</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rPr>
        <w:t>20</w:t>
      </w:r>
      <w:r>
        <w:rPr>
          <w:rFonts w:hint="eastAsia" w:ascii="仿宋" w:hAnsi="仿宋" w:eastAsia="仿宋" w:cs="仿宋"/>
          <w:i w:val="0"/>
          <w:iCs w:val="0"/>
          <w:caps w:val="0"/>
          <w:color w:val="000000"/>
          <w:spacing w:val="0"/>
          <w:sz w:val="32"/>
          <w:szCs w:val="32"/>
        </w:rPr>
        <w:t>日。提交申报材料若超过申报日期或不符合相关要求将不予受理。</w:t>
      </w:r>
    </w:p>
    <w:p w14:paraId="339B0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联系人及电话：周厚熹</w:t>
      </w:r>
      <w:r>
        <w:rPr>
          <w:rFonts w:hint="eastAsia" w:ascii="仿宋" w:hAnsi="仿宋" w:eastAsia="仿宋" w:cs="仿宋"/>
          <w:i w:val="0"/>
          <w:iCs w:val="0"/>
          <w:caps w:val="0"/>
          <w:color w:val="000000"/>
          <w:spacing w:val="0"/>
          <w:sz w:val="32"/>
          <w:szCs w:val="32"/>
          <w:lang w:val="en-US"/>
        </w:rPr>
        <w:t>  010-59191593</w:t>
      </w:r>
      <w:r>
        <w:rPr>
          <w:rFonts w:hint="eastAsia" w:ascii="仿宋" w:hAnsi="仿宋" w:eastAsia="仿宋" w:cs="仿宋"/>
          <w:i w:val="0"/>
          <w:iCs w:val="0"/>
          <w:caps w:val="0"/>
          <w:color w:val="000000"/>
          <w:spacing w:val="0"/>
          <w:sz w:val="32"/>
          <w:szCs w:val="32"/>
        </w:rPr>
        <w:t> </w:t>
      </w:r>
    </w:p>
    <w:p w14:paraId="6C80C9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2880" w:firstLineChars="9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孙俊娜</w:t>
      </w:r>
      <w:r>
        <w:rPr>
          <w:rFonts w:hint="eastAsia" w:ascii="仿宋" w:hAnsi="仿宋" w:eastAsia="仿宋" w:cs="仿宋"/>
          <w:i w:val="0"/>
          <w:iCs w:val="0"/>
          <w:caps w:val="0"/>
          <w:color w:val="000000"/>
          <w:spacing w:val="0"/>
          <w:sz w:val="32"/>
          <w:szCs w:val="32"/>
          <w:lang w:val="en-US"/>
        </w:rPr>
        <w:t>  010-59192793</w:t>
      </w:r>
      <w:r>
        <w:rPr>
          <w:rFonts w:hint="eastAsia" w:ascii="仿宋" w:hAnsi="仿宋" w:eastAsia="仿宋" w:cs="仿宋"/>
          <w:i w:val="0"/>
          <w:iCs w:val="0"/>
          <w:caps w:val="0"/>
          <w:color w:val="000000"/>
          <w:spacing w:val="0"/>
          <w:sz w:val="32"/>
          <w:szCs w:val="32"/>
        </w:rPr>
        <w:t> </w:t>
      </w:r>
    </w:p>
    <w:p w14:paraId="30FFA7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i w:val="0"/>
          <w:iCs w:val="0"/>
          <w:caps w:val="0"/>
          <w:color w:val="000000"/>
          <w:spacing w:val="0"/>
          <w:sz w:val="32"/>
          <w:szCs w:val="32"/>
        </w:rPr>
      </w:pPr>
    </w:p>
    <w:p w14:paraId="55878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附件：农业农村部软科学课题研究计划书（</w:t>
      </w:r>
      <w:r>
        <w:rPr>
          <w:rFonts w:hint="eastAsia" w:ascii="仿宋" w:hAnsi="仿宋" w:eastAsia="仿宋" w:cs="仿宋"/>
          <w:i w:val="0"/>
          <w:iCs w:val="0"/>
          <w:caps w:val="0"/>
          <w:color w:val="000000"/>
          <w:spacing w:val="0"/>
          <w:sz w:val="32"/>
          <w:szCs w:val="32"/>
          <w:lang w:val="en-US"/>
        </w:rPr>
        <w:t>2025</w:t>
      </w:r>
      <w:r>
        <w:rPr>
          <w:rFonts w:hint="eastAsia" w:ascii="仿宋" w:hAnsi="仿宋" w:eastAsia="仿宋" w:cs="仿宋"/>
          <w:i w:val="0"/>
          <w:iCs w:val="0"/>
          <w:caps w:val="0"/>
          <w:color w:val="000000"/>
          <w:spacing w:val="0"/>
          <w:sz w:val="32"/>
          <w:szCs w:val="32"/>
        </w:rPr>
        <w:t>年度）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E6D2D"/>
    <w:rsid w:val="01184D77"/>
    <w:rsid w:val="13C9736B"/>
    <w:rsid w:val="2A1B4209"/>
    <w:rsid w:val="3ADE6D2D"/>
    <w:rsid w:val="5FEE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3780</Words>
  <Characters>3877</Characters>
  <Lines>0</Lines>
  <Paragraphs>0</Paragraphs>
  <TotalTime>4</TotalTime>
  <ScaleCrop>false</ScaleCrop>
  <LinksUpToDate>false</LinksUpToDate>
  <CharactersWithSpaces>3913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2025-03-04T05:11:00Z</dcterms:created>
  <dc:creator>ykw</dc:creator>
  <cp:lastModifiedBy>豌豆正</cp:lastModifiedBy>
  <dcterms:modified xsi:type="dcterms:W3CDTF">2025-03-05T05:10:40Z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61DD4C623C1C42D0866C53E4F3B3BF67_13</vt:lpwstr>
  </property>
  <property fmtid="{D5CDD505-2E9C-101B-9397-08002B2CF9AE}" pid="4" name="KSOTemplateDocerSaveRecord">
    <vt:lpwstr>eyJoZGlkIjoiZDRmNGVhYmNiZDI4YzU4OTljNTVjZGZiZDY3MjA4ZTQiLCJ1c2VySWQiOiI0NzM3OTQ2NTUifQ==</vt:lpwstr>
  </property>
</Properties>
</file>