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5F523">
      <w:pPr>
        <w:spacing w:line="360" w:lineRule="auto"/>
        <w:ind w:right="25" w:rightChars="12"/>
        <w:rPr>
          <w:rFonts w:hint="eastAsia" w:eastAsia="黑体"/>
          <w:color w:val="000000"/>
          <w:sz w:val="32"/>
          <w:szCs w:val="32"/>
          <w:lang w:val="en-US"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14:paraId="1792C9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14:paraId="107E5C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14:paraId="5AA67D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264DC5D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14:paraId="7A1B0FB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bookmarkStart w:id="0" w:name="_GoBack"/>
      <w:bookmarkEnd w:id="0"/>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14:paraId="05D8243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14:paraId="255AF4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14:paraId="673AEF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14:paraId="309833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14:paraId="002F5A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14:paraId="4E6D7C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14:paraId="45E87E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14:paraId="791757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14:paraId="31A091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14:paraId="1074DF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14:paraId="6B89AF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14:paraId="7964CE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14:paraId="08F2CF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14:paraId="4BACC8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14:paraId="111DF9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14:paraId="3BFF4D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14:paraId="27A53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14:paraId="58C6C3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14:paraId="436676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14:paraId="04AAB1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14:paraId="7C7013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14:paraId="5C8963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42BBF3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14:paraId="0DD659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14:paraId="110B50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14:paraId="0E52F8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14:paraId="730657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14:paraId="51DEA7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14:paraId="6C3006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14:paraId="7F1B9A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14:paraId="4865D764">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14:paraId="25BFB1AC">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16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BD4FFC">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43BD4FFC">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11F47E78"/>
    <w:rsid w:val="27B0CAD9"/>
    <w:rsid w:val="3C6FAE8C"/>
    <w:rsid w:val="46343E55"/>
    <w:rsid w:val="6E1E2EE7"/>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1</TotalTime>
  <ScaleCrop>false</ScaleCrop>
  <LinksUpToDate>false</LinksUpToDate>
  <CharactersWithSpaces>1501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2025-07-23T10:27:00Z</dcterms:created>
  <dc:creator>赵金虎</dc:creator>
  <cp:lastModifiedBy>豌豆正</cp:lastModifiedBy>
  <dcterms:modified xsi:type="dcterms:W3CDTF">2025-08-05T04:50:11Z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B6636529EFF54040B53F847E4B388C9E_13</vt:lpwstr>
  </property>
  <property fmtid="{D5CDD505-2E9C-101B-9397-08002B2CF9AE}" pid="4" name="KSOTemplateDocerSaveRecord">
    <vt:lpwstr>eyJoZGlkIjoiN2Y1OWI0ZjQ0ODE2OWQ4MWIyOGJmYzhhOWQyYTE3ZTciLCJ1c2VySWQiOiI0NzM3OTQ2NTUifQ==</vt:lpwstr>
  </property>
</Properties>
</file>