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left="0" w:leftChars="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val="en-US" w:eastAsia="zh-CN"/>
        </w:rPr>
        <w:t>“习近平文化思想研究”主题征文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val="en-US" w:eastAsia="zh-CN"/>
        </w:rPr>
        <w:t>文学艺术类参考题目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left="0" w:leftChars="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  <w:t>1.文艺在推进强国建设、民族复兴伟业中的价值作用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  <w:t>2.“两个结合”与新时代文艺创新创造的实践经验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  <w:t>3.以人民为中心的创作导向的丰富内涵和实践要求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  <w:t>4.文艺创作体现大历史观、大时代观、大文明观研究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  <w:t>5.文艺作品的评价标准与评价体系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  <w:t>6.解决文艺领域“浮躁”问题的对策建议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  <w:t>7.网络文艺的创作生产传播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  <w:t>8.文艺滋养人民审美观价值观的方式路径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  <w:t>9.文艺传承和弘扬中华美学精神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  <w:t>10.德艺双馨文艺名家新秀培育机制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  <w:t>11.文艺讲好中国故事、推动文明交流互鉴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  <w:t>12.如何加强文艺界职业道德和行风建设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  <w:t>13.文联组织如何发挥组织优势和专业优势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  <w:t>14.团结引导服务“文艺两新”的实践探索和创新路径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  <w:t>15.构筑共有精神家园下的新时代北疆文艺实践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  <w:t>16.中国式现代化与新时代少数民族文艺的形态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  <w:t>17.铸牢中华民族共同体意识与新时代文艺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  <w:t>18.“北疆文化”与新时代文艺精神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480" w:firstLineChars="150"/>
        <w:jc w:val="both"/>
        <w:textAlignment w:val="auto"/>
        <w:outlineLvl w:val="9"/>
      </w:pPr>
      <w:r>
        <w:rPr>
          <w:rFonts w:hint="eastAsia" w:ascii="仿宋" w:hAnsi="仿宋" w:eastAsia="仿宋"/>
          <w:snapToGrid w:val="0"/>
          <w:color w:val="auto"/>
          <w:sz w:val="32"/>
          <w:szCs w:val="32"/>
          <w:lang w:val="en-US" w:eastAsia="zh-CN"/>
        </w:rPr>
        <w:t>19.新时代“北疆文艺”的前沿与主题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2098" w:right="1474" w:bottom="1984" w:left="1587" w:header="851" w:footer="992" w:gutter="0"/>
      <w:pgNumType w:fmt="numberInDash"/>
      <w:cols w:space="72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YjJmZGU5YWRlNjIzODllYWExNGZiNmFjZDdjZGUifQ=="/>
  </w:docVars>
  <w:rsids>
    <w:rsidRoot w:val="5C0F2598"/>
    <w:rsid w:val="5C0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2024-03-21T01:20:00Z</dcterms:created>
  <dc:creator>王圣焦</dc:creator>
  <cp:lastModifiedBy>王圣焦</cp:lastModifiedBy>
  <dcterms:modified xsi:type="dcterms:W3CDTF">2024-03-21T01:21:06Z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BCA20122D48E4402BBA83AF3E90BD451_11</vt:lpwstr>
  </property>
</Properties>
</file>