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564B8">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附件： </w:t>
      </w:r>
    </w:p>
    <w:p w14:paraId="43BA2171">
      <w:pPr>
        <w:keepNext w:val="0"/>
        <w:keepLines w:val="0"/>
        <w:widowControl/>
        <w:suppressLineNumbers w:val="0"/>
        <w:jc w:val="center"/>
        <w:rPr>
          <w:rFonts w:hint="eastAsia" w:ascii="宋体" w:hAnsi="宋体" w:eastAsia="宋体" w:cs="宋体"/>
          <w:b/>
          <w:bCs/>
          <w:color w:val="000000"/>
          <w:kern w:val="0"/>
          <w:sz w:val="40"/>
          <w:szCs w:val="40"/>
          <w:lang w:val="en-US" w:eastAsia="zh-CN" w:bidi="ar"/>
        </w:rPr>
      </w:pPr>
      <w:r>
        <w:rPr>
          <w:rFonts w:hint="eastAsia" w:ascii="宋体" w:hAnsi="宋体" w:eastAsia="宋体" w:cs="宋体"/>
          <w:b/>
          <w:bCs/>
          <w:color w:val="000000"/>
          <w:kern w:val="0"/>
          <w:sz w:val="44"/>
          <w:szCs w:val="44"/>
          <w:lang w:val="en-US" w:eastAsia="zh-CN" w:bidi="ar"/>
        </w:rPr>
        <w:t>黑龙江东方学院本科教育教学审核评估自评报告撰写任务分解表</w:t>
      </w:r>
    </w:p>
    <w:p w14:paraId="64AFD119">
      <w:pPr>
        <w:keepNext w:val="0"/>
        <w:keepLines w:val="0"/>
        <w:widowControl/>
        <w:suppressLineNumbers w:val="0"/>
        <w:spacing w:line="240" w:lineRule="auto"/>
        <w:jc w:val="left"/>
        <w:rPr>
          <w:b/>
          <w:bCs/>
          <w:sz w:val="32"/>
          <w:szCs w:val="32"/>
        </w:rPr>
      </w:pPr>
      <w:r>
        <w:rPr>
          <w:rFonts w:hint="eastAsia" w:ascii="楷体" w:hAnsi="楷体" w:eastAsia="楷体" w:cs="楷体"/>
          <w:b/>
          <w:bCs/>
          <w:color w:val="000000"/>
          <w:kern w:val="0"/>
          <w:sz w:val="32"/>
          <w:szCs w:val="32"/>
          <w:lang w:val="en-US" w:eastAsia="zh-CN" w:bidi="ar"/>
        </w:rPr>
        <w:t>第一部分：学校简介（不超过2000字）</w:t>
      </w:r>
      <w:r>
        <w:rPr>
          <w:rFonts w:ascii="黑体" w:hAnsi="宋体" w:eastAsia="黑体" w:cs="黑体"/>
          <w:b/>
          <w:bCs/>
          <w:color w:val="000000"/>
          <w:kern w:val="0"/>
          <w:sz w:val="32"/>
          <w:szCs w:val="32"/>
          <w:lang w:val="en-US" w:eastAsia="zh-CN" w:bidi="ar"/>
        </w:rPr>
        <w:t xml:space="preserve"> </w:t>
      </w:r>
    </w:p>
    <w:p w14:paraId="4DF3ED5E">
      <w:pPr>
        <w:keepNext w:val="0"/>
        <w:keepLines w:val="0"/>
        <w:widowControl/>
        <w:suppressLineNumbers w:val="0"/>
        <w:spacing w:line="240" w:lineRule="auto"/>
        <w:jc w:val="left"/>
        <w:rPr>
          <w:rFonts w:hint="eastAsia" w:ascii="仿宋" w:hAnsi="仿宋" w:eastAsia="仿宋" w:cs="仿宋"/>
          <w:sz w:val="32"/>
          <w:szCs w:val="32"/>
          <w:highlight w:val="none"/>
        </w:rPr>
      </w:pPr>
      <w:r>
        <w:rPr>
          <w:rFonts w:hint="eastAsia" w:ascii="仿宋" w:hAnsi="仿宋" w:eastAsia="仿宋" w:cs="仿宋"/>
          <w:b/>
          <w:bCs/>
          <w:color w:val="000000"/>
          <w:kern w:val="0"/>
          <w:sz w:val="32"/>
          <w:szCs w:val="32"/>
          <w:lang w:val="en-US" w:eastAsia="zh-CN" w:bidi="ar"/>
        </w:rPr>
        <w:t>牵头单位：</w:t>
      </w:r>
      <w:r>
        <w:rPr>
          <w:rFonts w:hint="eastAsia" w:ascii="仿宋" w:hAnsi="仿宋" w:eastAsia="仿宋" w:cs="仿宋"/>
          <w:b w:val="0"/>
          <w:bCs w:val="0"/>
          <w:color w:val="000000"/>
          <w:kern w:val="0"/>
          <w:sz w:val="32"/>
          <w:szCs w:val="32"/>
          <w:lang w:val="en-US" w:eastAsia="zh-CN" w:bidi="ar"/>
        </w:rPr>
        <w:t>教务处</w:t>
      </w:r>
      <w:r>
        <w:rPr>
          <w:rFonts w:hint="eastAsia" w:ascii="仿宋" w:hAnsi="仿宋" w:eastAsia="仿宋" w:cs="仿宋"/>
          <w:b w:val="0"/>
          <w:bCs w:val="0"/>
          <w:color w:val="000000"/>
          <w:kern w:val="0"/>
          <w:sz w:val="32"/>
          <w:szCs w:val="32"/>
          <w:highlight w:val="none"/>
          <w:lang w:val="en-US" w:eastAsia="zh-CN" w:bidi="ar"/>
        </w:rPr>
        <w:t>、学校办公室</w:t>
      </w:r>
      <w:r>
        <w:rPr>
          <w:rFonts w:hint="eastAsia" w:ascii="仿宋" w:hAnsi="仿宋" w:eastAsia="仿宋" w:cs="仿宋"/>
          <w:b/>
          <w:bCs/>
          <w:color w:val="000000"/>
          <w:kern w:val="0"/>
          <w:sz w:val="32"/>
          <w:szCs w:val="32"/>
          <w:highlight w:val="none"/>
          <w:lang w:val="en-US" w:eastAsia="zh-CN" w:bidi="ar"/>
        </w:rPr>
        <w:t xml:space="preserve"> </w:t>
      </w:r>
    </w:p>
    <w:p w14:paraId="2C6F5D8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_GB2312" w:hAnsi="仿宋_GB2312" w:eastAsia="仿宋_GB2312" w:cs="仿宋_GB2312"/>
          <w:b/>
          <w:bCs/>
          <w:color w:val="000000"/>
          <w:kern w:val="0"/>
          <w:sz w:val="32"/>
          <w:szCs w:val="32"/>
          <w:lang w:val="en-US" w:eastAsia="zh-CN" w:bidi="ar"/>
        </w:rPr>
      </w:pPr>
      <w:r>
        <w:rPr>
          <w:rFonts w:ascii="仿宋_GB2312" w:hAnsi="仿宋_GB2312" w:eastAsia="仿宋_GB2312" w:cs="仿宋_GB2312"/>
          <w:b/>
          <w:bCs/>
          <w:color w:val="000000"/>
          <w:kern w:val="0"/>
          <w:sz w:val="32"/>
          <w:szCs w:val="32"/>
          <w:lang w:val="en-US" w:eastAsia="zh-CN" w:bidi="ar"/>
        </w:rPr>
        <w:t>写作要点：</w:t>
      </w:r>
    </w:p>
    <w:p w14:paraId="1A816BA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1.简要介绍学校的历史沿革、发展概括、学科布局、本科专业数量与结构、在校生规模、专任教师规模、基本办学条件等。</w:t>
      </w:r>
    </w:p>
    <w:p w14:paraId="04AB2A31">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2.学校2022年1月以来在事业发展中所取得的显著成绩与荣誉。</w:t>
      </w:r>
    </w:p>
    <w:p w14:paraId="6D1887EE">
      <w:pPr>
        <w:keepNext w:val="0"/>
        <w:keepLines w:val="0"/>
        <w:widowControl/>
        <w:suppressLineNumbers w:val="0"/>
        <w:spacing w:line="240" w:lineRule="auto"/>
        <w:jc w:val="left"/>
        <w:rPr>
          <w:sz w:val="32"/>
          <w:szCs w:val="32"/>
        </w:rPr>
      </w:pPr>
      <w:r>
        <w:rPr>
          <w:rFonts w:hint="eastAsia" w:ascii="楷体" w:hAnsi="楷体" w:eastAsia="楷体" w:cs="楷体"/>
          <w:b/>
          <w:bCs/>
          <w:color w:val="000000"/>
          <w:kern w:val="0"/>
          <w:sz w:val="32"/>
          <w:szCs w:val="32"/>
          <w:lang w:val="en-US" w:eastAsia="zh-CN" w:bidi="ar"/>
        </w:rPr>
        <w:t>第二部分：学校自评工作开展情况（不超过2000字）</w:t>
      </w:r>
      <w:r>
        <w:rPr>
          <w:rFonts w:hint="eastAsia" w:ascii="黑体" w:hAnsi="宋体" w:eastAsia="黑体" w:cs="黑体"/>
          <w:color w:val="000000"/>
          <w:kern w:val="0"/>
          <w:sz w:val="32"/>
          <w:szCs w:val="32"/>
          <w:lang w:val="en-US" w:eastAsia="zh-CN" w:bidi="ar"/>
        </w:rPr>
        <w:t xml:space="preserve"> </w:t>
      </w:r>
    </w:p>
    <w:p w14:paraId="47C0BB09">
      <w:pPr>
        <w:keepNext w:val="0"/>
        <w:keepLines w:val="0"/>
        <w:widowControl/>
        <w:suppressLineNumbers w:val="0"/>
        <w:spacing w:line="240" w:lineRule="auto"/>
        <w:jc w:val="left"/>
        <w:rPr>
          <w:sz w:val="32"/>
          <w:szCs w:val="32"/>
        </w:rPr>
      </w:pPr>
      <w:r>
        <w:rPr>
          <w:rFonts w:hint="eastAsia" w:ascii="仿宋" w:hAnsi="仿宋" w:eastAsia="仿宋" w:cs="仿宋"/>
          <w:b/>
          <w:bCs/>
          <w:color w:val="000000"/>
          <w:kern w:val="0"/>
          <w:sz w:val="32"/>
          <w:szCs w:val="32"/>
          <w:lang w:val="en-US" w:eastAsia="zh-CN" w:bidi="ar"/>
        </w:rPr>
        <w:t>牵头单位：</w:t>
      </w:r>
      <w:r>
        <w:rPr>
          <w:rFonts w:hint="eastAsia" w:ascii="仿宋" w:hAnsi="仿宋" w:eastAsia="仿宋" w:cs="仿宋"/>
          <w:b w:val="0"/>
          <w:bCs w:val="0"/>
          <w:color w:val="000000"/>
          <w:kern w:val="0"/>
          <w:sz w:val="32"/>
          <w:szCs w:val="32"/>
          <w:lang w:val="en-US" w:eastAsia="zh-CN" w:bidi="ar"/>
        </w:rPr>
        <w:t>教务处</w:t>
      </w:r>
      <w:r>
        <w:rPr>
          <w:rFonts w:ascii="楷体_GB2312" w:hAnsi="楷体_GB2312" w:eastAsia="楷体_GB2312" w:cs="楷体_GB2312"/>
          <w:b/>
          <w:bCs/>
          <w:color w:val="000000"/>
          <w:kern w:val="0"/>
          <w:sz w:val="32"/>
          <w:szCs w:val="32"/>
          <w:lang w:val="en-US" w:eastAsia="zh-CN" w:bidi="ar"/>
        </w:rPr>
        <w:t xml:space="preserve"> </w:t>
      </w:r>
    </w:p>
    <w:p w14:paraId="4E29C4FA">
      <w:pPr>
        <w:keepNext w:val="0"/>
        <w:keepLines w:val="0"/>
        <w:widowControl/>
        <w:suppressLineNumbers w:val="0"/>
        <w:spacing w:line="240" w:lineRule="auto"/>
        <w:jc w:val="left"/>
        <w:rPr>
          <w:rFonts w:ascii="仿宋_GB2312" w:hAnsi="仿宋_GB2312" w:eastAsia="仿宋_GB2312" w:cs="仿宋_GB2312"/>
          <w:b/>
          <w:bCs/>
          <w:color w:val="000000"/>
          <w:kern w:val="0"/>
          <w:sz w:val="32"/>
          <w:szCs w:val="32"/>
          <w:lang w:val="en-US" w:eastAsia="zh-CN" w:bidi="ar"/>
        </w:rPr>
      </w:pPr>
      <w:r>
        <w:rPr>
          <w:rFonts w:ascii="仿宋_GB2312" w:hAnsi="仿宋_GB2312" w:eastAsia="仿宋_GB2312" w:cs="仿宋_GB2312"/>
          <w:b/>
          <w:bCs/>
          <w:color w:val="000000"/>
          <w:kern w:val="0"/>
          <w:sz w:val="32"/>
          <w:szCs w:val="32"/>
          <w:lang w:val="en-US" w:eastAsia="zh-CN" w:bidi="ar"/>
        </w:rPr>
        <w:t>写作要点：</w:t>
      </w:r>
    </w:p>
    <w:p w14:paraId="413C2DA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1.简要说明学校依据《普通高等学校本科教育教学审核评估实施方案（2021-2025）》开展自评自建工作情况，包括组织机构、宣传发动、实施措施、经验以及评建工作取得的成效；</w:t>
      </w:r>
    </w:p>
    <w:p w14:paraId="7F7E9AD5">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2.附自查问题清单、支撑材料索引、学校审核评估工作领导小组、自评自建工作方案、自评自建过程记录等。 </w:t>
      </w:r>
    </w:p>
    <w:p w14:paraId="56281530">
      <w:pPr>
        <w:keepNext w:val="0"/>
        <w:keepLines w:val="0"/>
        <w:widowControl/>
        <w:suppressLineNumbers w:val="0"/>
        <w:spacing w:line="240" w:lineRule="auto"/>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第三部分：学校自评结果（不超过36000字）</w:t>
      </w:r>
    </w:p>
    <w:p w14:paraId="0BB04410">
      <w:pPr>
        <w:keepNext w:val="0"/>
        <w:keepLines w:val="0"/>
        <w:widowControl/>
        <w:suppressLineNumbers w:val="0"/>
        <w:spacing w:line="240" w:lineRule="auto"/>
        <w:jc w:val="left"/>
        <w:rPr>
          <w:rFonts w:ascii="仿宋_GB2312" w:hAnsi="仿宋_GB2312" w:eastAsia="仿宋_GB2312" w:cs="仿宋_GB2312"/>
          <w:b/>
          <w:bCs/>
          <w:color w:val="000000"/>
          <w:kern w:val="0"/>
          <w:sz w:val="32"/>
          <w:szCs w:val="32"/>
          <w:lang w:val="en-US" w:eastAsia="zh-CN" w:bidi="ar"/>
        </w:rPr>
      </w:pPr>
      <w:r>
        <w:rPr>
          <w:rFonts w:ascii="仿宋_GB2312" w:hAnsi="仿宋_GB2312" w:eastAsia="仿宋_GB2312" w:cs="仿宋_GB2312"/>
          <w:b/>
          <w:bCs/>
          <w:color w:val="000000"/>
          <w:kern w:val="0"/>
          <w:sz w:val="32"/>
          <w:szCs w:val="32"/>
          <w:lang w:val="en-US" w:eastAsia="zh-CN" w:bidi="ar"/>
        </w:rPr>
        <w:t>写作要点：</w:t>
      </w:r>
    </w:p>
    <w:p w14:paraId="47CD9BF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1.各牵头部门针对本部门负责的每个审核要点，对照本科教育教学审核评估指标解读，撰写相应部分的自评报告，全面排查问题，提出对策措施；</w:t>
      </w:r>
    </w:p>
    <w:p w14:paraId="6F3CF91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2.每个审核要点的报告初稿约1500字，问题与对策措施部分的字数不少于三分之一。</w:t>
      </w:r>
    </w:p>
    <w:p w14:paraId="1FA7D3A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Times New Roman" w:hAnsi="Times New Roman" w:eastAsia="仿宋" w:cs="仿宋"/>
          <w:sz w:val="32"/>
          <w:szCs w:val="32"/>
          <w:lang w:val="en-US" w:eastAsia="zh-CN"/>
        </w:rPr>
      </w:pPr>
    </w:p>
    <w:tbl>
      <w:tblPr>
        <w:tblStyle w:val="4"/>
        <w:tblW w:w="13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8"/>
        <w:gridCol w:w="1394"/>
        <w:gridCol w:w="419"/>
        <w:gridCol w:w="1112"/>
        <w:gridCol w:w="3879"/>
        <w:gridCol w:w="1632"/>
        <w:gridCol w:w="2592"/>
        <w:gridCol w:w="1080"/>
      </w:tblGrid>
      <w:tr w14:paraId="78BA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1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一级指标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0ED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二级指标</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F5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审核重点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0E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仿宋"/>
                <w:b/>
                <w:bCs/>
                <w:i w:val="0"/>
                <w:iCs w:val="0"/>
                <w:color w:val="000000"/>
                <w:kern w:val="0"/>
                <w:sz w:val="24"/>
                <w:szCs w:val="24"/>
                <w:u w:val="none"/>
                <w:lang w:val="en-US" w:eastAsia="zh-CN" w:bidi="ar"/>
              </w:rPr>
            </w:pPr>
            <w:r>
              <w:rPr>
                <w:rFonts w:hint="eastAsia" w:ascii="Times New Roman" w:hAnsi="Times New Roman" w:eastAsia="仿宋" w:cs="仿宋"/>
                <w:b/>
                <w:bCs/>
                <w:i w:val="0"/>
                <w:iCs w:val="0"/>
                <w:color w:val="000000"/>
                <w:kern w:val="0"/>
                <w:sz w:val="24"/>
                <w:szCs w:val="24"/>
                <w:u w:val="none"/>
                <w:lang w:val="en-US" w:eastAsia="zh-CN" w:bidi="ar"/>
              </w:rPr>
              <w:t>牵头部门</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4C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责任部门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F81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仿宋"/>
                <w:b/>
                <w:bCs/>
                <w:i w:val="0"/>
                <w:iCs w:val="0"/>
                <w:color w:val="000000"/>
                <w:sz w:val="24"/>
                <w:szCs w:val="24"/>
                <w:u w:val="none"/>
                <w:lang w:val="en-US"/>
              </w:rPr>
            </w:pPr>
            <w:r>
              <w:rPr>
                <w:rFonts w:hint="eastAsia" w:ascii="Times New Roman" w:hAnsi="Times New Roman" w:eastAsia="仿宋" w:cs="仿宋"/>
                <w:b/>
                <w:bCs/>
                <w:i w:val="0"/>
                <w:iCs w:val="0"/>
                <w:color w:val="000000"/>
                <w:kern w:val="0"/>
                <w:sz w:val="24"/>
                <w:szCs w:val="24"/>
                <w:u w:val="none"/>
                <w:lang w:val="en-US" w:eastAsia="zh-CN" w:bidi="ar"/>
              </w:rPr>
              <w:t>牵头人</w:t>
            </w:r>
          </w:p>
        </w:tc>
      </w:tr>
      <w:tr w14:paraId="1557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4A5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1.办学方向与本科地位</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687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1.1</w:t>
            </w:r>
          </w:p>
          <w:p w14:paraId="48948E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党的领导</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7D7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1.1.1 学校坚持党的全面领导</w:t>
            </w:r>
            <w:r>
              <w:rPr>
                <w:rStyle w:val="9"/>
                <w:rFonts w:hint="eastAsia" w:ascii="Times New Roman" w:hAnsi="Times New Roman" w:eastAsia="仿宋" w:cs="仿宋"/>
                <w:color w:val="auto"/>
                <w:sz w:val="24"/>
                <w:szCs w:val="24"/>
                <w:lang w:val="en-US" w:eastAsia="zh-CN" w:bidi="ar"/>
              </w:rPr>
              <w:t>，依法治教、依法办学、依法治校，围绕国家战略需求培养担当民族复兴大任的时代新人</w:t>
            </w:r>
            <w:r>
              <w:rPr>
                <w:rStyle w:val="8"/>
                <w:rFonts w:hint="eastAsia" w:ascii="Times New Roman" w:hAnsi="Times New Roman" w:eastAsia="仿宋" w:cs="仿宋"/>
                <w:color w:val="auto"/>
                <w:sz w:val="24"/>
                <w:szCs w:val="24"/>
                <w:lang w:val="en-US" w:eastAsia="zh-CN" w:bidi="ar"/>
              </w:rPr>
              <w:t>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7D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学校办公室</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02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党委组织部、党委宣传部</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3D4181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highlight w:val="none"/>
                <w:u w:val="none"/>
                <w:lang w:val="en-US" w:eastAsia="zh-CN"/>
              </w:rPr>
              <w:t>叶非、万淳</w:t>
            </w:r>
          </w:p>
        </w:tc>
      </w:tr>
      <w:tr w14:paraId="5E14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18D3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774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C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1.1.2 学校坚持社会主义办学方向、贯彻落实立德树人根本任务</w:t>
            </w:r>
            <w:r>
              <w:rPr>
                <w:rStyle w:val="9"/>
                <w:rFonts w:hint="eastAsia" w:ascii="Times New Roman" w:hAnsi="Times New Roman" w:eastAsia="仿宋" w:cs="仿宋"/>
                <w:color w:val="auto"/>
                <w:sz w:val="24"/>
                <w:szCs w:val="24"/>
                <w:lang w:val="en-US" w:eastAsia="zh-CN" w:bidi="ar"/>
              </w:rPr>
              <w:t>、把立德树人成效作为检验学校一切工作根本标准</w:t>
            </w:r>
            <w:r>
              <w:rPr>
                <w:rStyle w:val="8"/>
                <w:rFonts w:hint="eastAsia" w:ascii="Times New Roman" w:hAnsi="Times New Roman" w:eastAsia="仿宋" w:cs="仿宋"/>
                <w:color w:val="auto"/>
                <w:sz w:val="24"/>
                <w:szCs w:val="24"/>
                <w:lang w:val="en-US" w:eastAsia="zh-CN" w:bidi="ar"/>
              </w:rPr>
              <w:t>情况</w:t>
            </w:r>
            <w:r>
              <w:rPr>
                <w:rStyle w:val="8"/>
                <w:rFonts w:hint="eastAsia" w:ascii="Times New Roman" w:hAnsi="Times New Roman" w:eastAsia="仿宋" w:cs="仿宋"/>
                <w:b w:val="0"/>
                <w:bCs w:val="0"/>
                <w:color w:val="auto"/>
                <w:sz w:val="24"/>
                <w:szCs w:val="24"/>
                <w:lang w:val="en-US" w:eastAsia="zh-CN" w:bidi="ar"/>
              </w:rPr>
              <w:t>，学校推进习近平新时代中国特色社会主义思想和党的二十大精神进课程进教材进头脑及开设《理解当代中国》系列课程情况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E0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学校办公室</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D8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党委组织部、党委宣传部、教务处</w:t>
            </w:r>
          </w:p>
        </w:tc>
        <w:tc>
          <w:tcPr>
            <w:tcW w:w="1080" w:type="dxa"/>
            <w:vMerge w:val="continue"/>
            <w:tcBorders>
              <w:left w:val="single" w:color="000000" w:sz="4" w:space="0"/>
              <w:right w:val="single" w:color="000000" w:sz="4" w:space="0"/>
            </w:tcBorders>
            <w:shd w:val="clear" w:color="auto" w:fill="auto"/>
            <w:noWrap/>
            <w:vAlign w:val="center"/>
          </w:tcPr>
          <w:p w14:paraId="0F08EB1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F88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5C8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43A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1.2</w:t>
            </w:r>
          </w:p>
          <w:p w14:paraId="116260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思政教育</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FF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1.2.1 思想政治工作体系建设和“三全育人”工作格局建立情况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C3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党委宣传部</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3B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各部门、各单位</w:t>
            </w:r>
          </w:p>
        </w:tc>
        <w:tc>
          <w:tcPr>
            <w:tcW w:w="1080" w:type="dxa"/>
            <w:vMerge w:val="continue"/>
            <w:tcBorders>
              <w:left w:val="single" w:color="000000" w:sz="4" w:space="0"/>
              <w:right w:val="single" w:color="000000" w:sz="4" w:space="0"/>
            </w:tcBorders>
            <w:shd w:val="clear" w:color="auto" w:fill="auto"/>
            <w:noWrap/>
            <w:vAlign w:val="center"/>
          </w:tcPr>
          <w:p w14:paraId="16DE1B7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24E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1EC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290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306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1.2.2 加强思想政治理论课教师队伍和思政课程建设情况，</w:t>
            </w:r>
            <w:r>
              <w:rPr>
                <w:rStyle w:val="9"/>
                <w:rFonts w:hint="eastAsia" w:ascii="Times New Roman" w:hAnsi="Times New Roman" w:eastAsia="仿宋" w:cs="仿宋"/>
                <w:color w:val="auto"/>
                <w:sz w:val="24"/>
                <w:szCs w:val="24"/>
                <w:lang w:val="en-US" w:eastAsia="zh-CN" w:bidi="ar"/>
              </w:rPr>
              <w:t>按要求开设“习近平总书记关于教育的重要论述研究”课程情况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4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BA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马克思主义学院</w:t>
            </w:r>
          </w:p>
        </w:tc>
        <w:tc>
          <w:tcPr>
            <w:tcW w:w="1080" w:type="dxa"/>
            <w:vMerge w:val="continue"/>
            <w:tcBorders>
              <w:left w:val="single" w:color="000000" w:sz="4" w:space="0"/>
              <w:right w:val="single" w:color="000000" w:sz="4" w:space="0"/>
            </w:tcBorders>
            <w:shd w:val="clear" w:color="auto" w:fill="auto"/>
            <w:noWrap/>
            <w:vAlign w:val="center"/>
          </w:tcPr>
          <w:p w14:paraId="2BAFC76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CE1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9CE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16F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E8C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【必选】思政课专任教师与折合在校生比例≥1:350</w:t>
            </w:r>
          </w:p>
        </w:tc>
        <w:tc>
          <w:tcPr>
            <w:tcW w:w="1632" w:type="dxa"/>
            <w:vMerge w:val="restart"/>
            <w:tcBorders>
              <w:top w:val="single" w:color="000000" w:sz="4" w:space="0"/>
              <w:left w:val="single" w:color="000000" w:sz="4" w:space="0"/>
              <w:right w:val="single" w:color="000000" w:sz="4" w:space="0"/>
            </w:tcBorders>
            <w:shd w:val="clear" w:color="auto" w:fill="auto"/>
            <w:noWrap/>
            <w:vAlign w:val="center"/>
          </w:tcPr>
          <w:p w14:paraId="5480C9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8A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马克思主义学院</w:t>
            </w:r>
          </w:p>
        </w:tc>
        <w:tc>
          <w:tcPr>
            <w:tcW w:w="1080" w:type="dxa"/>
            <w:vMerge w:val="continue"/>
            <w:tcBorders>
              <w:left w:val="single" w:color="000000" w:sz="4" w:space="0"/>
              <w:right w:val="single" w:color="000000" w:sz="4" w:space="0"/>
            </w:tcBorders>
            <w:shd w:val="clear" w:color="auto" w:fill="auto"/>
            <w:noWrap/>
            <w:vAlign w:val="center"/>
          </w:tcPr>
          <w:p w14:paraId="54AA87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0EC9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2DC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70A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13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【必选】专职党务工作人员和思想政治工作人员总数与全校师生人数比例≥1:100</w:t>
            </w:r>
          </w:p>
        </w:tc>
        <w:tc>
          <w:tcPr>
            <w:tcW w:w="1632" w:type="dxa"/>
            <w:vMerge w:val="continue"/>
            <w:tcBorders>
              <w:left w:val="single" w:color="000000" w:sz="4" w:space="0"/>
              <w:bottom w:val="single" w:color="000000" w:sz="4" w:space="0"/>
              <w:right w:val="single" w:color="000000" w:sz="4" w:space="0"/>
            </w:tcBorders>
            <w:shd w:val="clear" w:color="auto" w:fill="auto"/>
            <w:noWrap/>
            <w:vAlign w:val="center"/>
          </w:tcPr>
          <w:p w14:paraId="0BC716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A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党委组织部</w:t>
            </w:r>
          </w:p>
        </w:tc>
        <w:tc>
          <w:tcPr>
            <w:tcW w:w="1080" w:type="dxa"/>
            <w:vMerge w:val="continue"/>
            <w:tcBorders>
              <w:left w:val="single" w:color="000000" w:sz="4" w:space="0"/>
              <w:right w:val="single" w:color="000000" w:sz="4" w:space="0"/>
            </w:tcBorders>
            <w:shd w:val="clear" w:color="auto" w:fill="auto"/>
            <w:noWrap/>
            <w:vAlign w:val="center"/>
          </w:tcPr>
          <w:p w14:paraId="1ED819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493F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BC5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53A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992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【必选】生均思政工作和党务工作队伍建设专项经费≥20元</w:t>
            </w:r>
          </w:p>
        </w:tc>
        <w:tc>
          <w:tcPr>
            <w:tcW w:w="1632" w:type="dxa"/>
            <w:vMerge w:val="restart"/>
            <w:tcBorders>
              <w:top w:val="single" w:color="000000" w:sz="4" w:space="0"/>
              <w:left w:val="single" w:color="000000" w:sz="4" w:space="0"/>
              <w:right w:val="single" w:color="000000" w:sz="4" w:space="0"/>
            </w:tcBorders>
            <w:shd w:val="clear" w:color="auto" w:fill="auto"/>
            <w:noWrap/>
            <w:vAlign w:val="center"/>
          </w:tcPr>
          <w:p w14:paraId="2B3962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财务处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党委组织部</w:t>
            </w:r>
          </w:p>
        </w:tc>
        <w:tc>
          <w:tcPr>
            <w:tcW w:w="1080" w:type="dxa"/>
            <w:vMerge w:val="continue"/>
            <w:tcBorders>
              <w:left w:val="single" w:color="000000" w:sz="4" w:space="0"/>
              <w:right w:val="single" w:color="000000" w:sz="4" w:space="0"/>
            </w:tcBorders>
            <w:shd w:val="clear" w:color="auto" w:fill="auto"/>
            <w:noWrap/>
            <w:vAlign w:val="center"/>
          </w:tcPr>
          <w:p w14:paraId="1F9F34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28E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DEF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E22C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5CE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【必选】生均网络思政工作专项经费≥40元</w:t>
            </w:r>
          </w:p>
        </w:tc>
        <w:tc>
          <w:tcPr>
            <w:tcW w:w="1632" w:type="dxa"/>
            <w:vMerge w:val="continue"/>
            <w:tcBorders>
              <w:left w:val="single" w:color="000000" w:sz="4" w:space="0"/>
              <w:bottom w:val="single" w:color="000000" w:sz="4" w:space="0"/>
              <w:right w:val="single" w:color="000000" w:sz="4" w:space="0"/>
            </w:tcBorders>
            <w:shd w:val="clear" w:color="auto" w:fill="auto"/>
            <w:noWrap/>
            <w:vAlign w:val="center"/>
          </w:tcPr>
          <w:p w14:paraId="02D23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B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党委宣传部</w:t>
            </w:r>
          </w:p>
        </w:tc>
        <w:tc>
          <w:tcPr>
            <w:tcW w:w="1080" w:type="dxa"/>
            <w:vMerge w:val="continue"/>
            <w:tcBorders>
              <w:left w:val="single" w:color="000000" w:sz="4" w:space="0"/>
              <w:right w:val="single" w:color="000000" w:sz="4" w:space="0"/>
            </w:tcBorders>
            <w:shd w:val="clear" w:color="auto" w:fill="auto"/>
            <w:noWrap/>
            <w:vAlign w:val="center"/>
          </w:tcPr>
          <w:p w14:paraId="601844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FBD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600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2A7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8A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1.2.3 “课程思政”建设与成效，课程思政示范高校、课程思政教学研究示范中心以及课程思政示范课程、教学名师和团队、课程思政优秀教学案例的建设及选树情况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7F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C2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1B39E8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0F3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0C5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100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AAB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1.2.4 学校对教师、学生出现思想政治、道德品质等负面问题能否及时发现和妥当处置情况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23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eastAsia"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78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 w:cs="仿宋"/>
                <w:color w:val="auto"/>
                <w:sz w:val="24"/>
                <w:szCs w:val="24"/>
                <w:lang w:val="en-US" w:eastAsia="zh-CN" w:bidi="ar"/>
              </w:rPr>
            </w:pPr>
            <w:r>
              <w:rPr>
                <w:rStyle w:val="9"/>
                <w:rFonts w:hint="eastAsia" w:ascii="Times New Roman" w:hAnsi="Times New Roman" w:eastAsia="仿宋" w:cs="仿宋"/>
                <w:color w:val="auto"/>
                <w:sz w:val="24"/>
                <w:szCs w:val="24"/>
                <w:lang w:val="en-US" w:eastAsia="zh-CN" w:bidi="ar"/>
              </w:rPr>
              <w:t>学生处、教务处</w:t>
            </w:r>
          </w:p>
        </w:tc>
        <w:tc>
          <w:tcPr>
            <w:tcW w:w="1080" w:type="dxa"/>
            <w:vMerge w:val="continue"/>
            <w:tcBorders>
              <w:left w:val="single" w:color="000000" w:sz="4" w:space="0"/>
              <w:right w:val="single" w:color="000000" w:sz="4" w:space="0"/>
            </w:tcBorders>
            <w:shd w:val="clear" w:color="auto" w:fill="auto"/>
            <w:noWrap/>
            <w:vAlign w:val="center"/>
          </w:tcPr>
          <w:p w14:paraId="00FABCD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ED4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628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BDC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1.3</w:t>
            </w:r>
          </w:p>
          <w:p w14:paraId="1781B0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本科地位</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60F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1.3.1 “以本为本”落实情况，本科教育基础地位和人才培养中心地位落实情况，高质量本科教育体系建设情况，党委重视、校长主抓、院长落实的本科教育良好氛围形成情况，学校开展教育教学思想大讨论情况及成效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11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学校办公室</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46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right w:val="single" w:color="000000" w:sz="4" w:space="0"/>
            </w:tcBorders>
            <w:shd w:val="clear" w:color="auto" w:fill="auto"/>
            <w:noWrap/>
            <w:vAlign w:val="center"/>
          </w:tcPr>
          <w:p w14:paraId="0C7E049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C95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B77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54E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2CB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1.3.2 “四个回归”的实现情况，推进学生刻苦读书学习、教师潜心教书育人、学校倾心培养社会主义建设者和接班人等方面的举措与成效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23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1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教务处、九大学院</w:t>
            </w:r>
          </w:p>
        </w:tc>
        <w:tc>
          <w:tcPr>
            <w:tcW w:w="1080" w:type="dxa"/>
            <w:vMerge w:val="continue"/>
            <w:tcBorders>
              <w:left w:val="single" w:color="000000" w:sz="4" w:space="0"/>
              <w:right w:val="single" w:color="000000" w:sz="4" w:space="0"/>
            </w:tcBorders>
            <w:shd w:val="clear" w:color="auto" w:fill="auto"/>
            <w:noWrap/>
            <w:vAlign w:val="center"/>
          </w:tcPr>
          <w:p w14:paraId="509C3DE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7B9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9FD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35A8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86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1.3.3 教学经费、教学资源条件、教师精力投入等优先保障本科教学的机制建设情况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6E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07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财务处、资产管理处、人事处</w:t>
            </w:r>
          </w:p>
        </w:tc>
        <w:tc>
          <w:tcPr>
            <w:tcW w:w="1080" w:type="dxa"/>
            <w:vMerge w:val="continue"/>
            <w:tcBorders>
              <w:left w:val="single" w:color="000000" w:sz="4" w:space="0"/>
              <w:right w:val="single" w:color="000000" w:sz="4" w:space="0"/>
            </w:tcBorders>
            <w:shd w:val="clear" w:color="auto" w:fill="auto"/>
            <w:noWrap/>
            <w:vAlign w:val="center"/>
          </w:tcPr>
          <w:p w14:paraId="6096D0F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FFB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C011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BED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1DE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【必选】生均年教学日常运行支出≥1200元（备注5）</w:t>
            </w:r>
          </w:p>
        </w:tc>
        <w:tc>
          <w:tcPr>
            <w:tcW w:w="1632" w:type="dxa"/>
            <w:vMerge w:val="restart"/>
            <w:tcBorders>
              <w:top w:val="single" w:color="000000" w:sz="4" w:space="0"/>
              <w:left w:val="single" w:color="000000" w:sz="4" w:space="0"/>
              <w:right w:val="single" w:color="000000" w:sz="4" w:space="0"/>
            </w:tcBorders>
            <w:shd w:val="clear" w:color="auto" w:fill="auto"/>
            <w:noWrap/>
            <w:vAlign w:val="center"/>
          </w:tcPr>
          <w:p w14:paraId="117F84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财务处</w:t>
            </w:r>
          </w:p>
        </w:tc>
        <w:tc>
          <w:tcPr>
            <w:tcW w:w="2592" w:type="dxa"/>
            <w:vMerge w:val="restart"/>
            <w:tcBorders>
              <w:top w:val="single" w:color="000000" w:sz="4" w:space="0"/>
              <w:left w:val="single" w:color="000000" w:sz="4" w:space="0"/>
              <w:right w:val="single" w:color="000000" w:sz="4" w:space="0"/>
            </w:tcBorders>
            <w:shd w:val="clear" w:color="auto" w:fill="auto"/>
            <w:noWrap/>
            <w:vAlign w:val="center"/>
          </w:tcPr>
          <w:p w14:paraId="6915C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4CCCF9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D97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7EB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2A6C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74C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【必选】教学日常运行支出占经常性预算内教育事业费拨款（205类教育拨款扣除专项拨款）与学费收入之和的比例≥13%（教学日常运行支出统计要求见备注5）</w:t>
            </w:r>
          </w:p>
        </w:tc>
        <w:tc>
          <w:tcPr>
            <w:tcW w:w="1632" w:type="dxa"/>
            <w:vMerge w:val="continue"/>
            <w:tcBorders>
              <w:left w:val="single" w:color="000000" w:sz="4" w:space="0"/>
              <w:bottom w:val="single" w:color="000000" w:sz="4" w:space="0"/>
              <w:right w:val="single" w:color="000000" w:sz="4" w:space="0"/>
            </w:tcBorders>
            <w:shd w:val="clear" w:color="auto" w:fill="auto"/>
            <w:noWrap/>
            <w:vAlign w:val="center"/>
          </w:tcPr>
          <w:p w14:paraId="5F185D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2592" w:type="dxa"/>
            <w:vMerge w:val="continue"/>
            <w:tcBorders>
              <w:left w:val="single" w:color="000000" w:sz="4" w:space="0"/>
              <w:bottom w:val="single" w:color="000000" w:sz="4" w:space="0"/>
              <w:right w:val="single" w:color="000000" w:sz="4" w:space="0"/>
            </w:tcBorders>
            <w:shd w:val="clear" w:color="auto" w:fill="auto"/>
            <w:noWrap/>
            <w:vAlign w:val="center"/>
          </w:tcPr>
          <w:p w14:paraId="33DFEB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1E9365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0293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D2B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F8A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A34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【必选】年新增教学科研仪器设备值所占比例（要求见备注6）</w:t>
            </w:r>
          </w:p>
        </w:tc>
        <w:tc>
          <w:tcPr>
            <w:tcW w:w="1632" w:type="dxa"/>
            <w:vMerge w:val="restart"/>
            <w:tcBorders>
              <w:top w:val="single" w:color="000000" w:sz="4" w:space="0"/>
              <w:left w:val="single" w:color="000000" w:sz="4" w:space="0"/>
              <w:right w:val="single" w:color="000000" w:sz="4" w:space="0"/>
            </w:tcBorders>
            <w:shd w:val="clear" w:color="auto" w:fill="auto"/>
            <w:noWrap/>
            <w:vAlign w:val="center"/>
          </w:tcPr>
          <w:p w14:paraId="75B4B9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资产管理处</w:t>
            </w:r>
          </w:p>
        </w:tc>
        <w:tc>
          <w:tcPr>
            <w:tcW w:w="2592" w:type="dxa"/>
            <w:vMerge w:val="restart"/>
            <w:tcBorders>
              <w:top w:val="single" w:color="000000" w:sz="4" w:space="0"/>
              <w:left w:val="single" w:color="000000" w:sz="4" w:space="0"/>
              <w:right w:val="single" w:color="000000" w:sz="4" w:space="0"/>
            </w:tcBorders>
            <w:shd w:val="clear" w:color="auto" w:fill="auto"/>
            <w:noWrap/>
            <w:vAlign w:val="center"/>
          </w:tcPr>
          <w:p w14:paraId="36393C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7D0072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7ED7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61B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1F8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6B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【必选】生均教学科研仪器设备值（要求见备注7）</w:t>
            </w:r>
          </w:p>
        </w:tc>
        <w:tc>
          <w:tcPr>
            <w:tcW w:w="1632" w:type="dxa"/>
            <w:vMerge w:val="continue"/>
            <w:tcBorders>
              <w:left w:val="single" w:color="000000" w:sz="4" w:space="0"/>
              <w:bottom w:val="single" w:color="000000" w:sz="4" w:space="0"/>
              <w:right w:val="single" w:color="000000" w:sz="4" w:space="0"/>
            </w:tcBorders>
            <w:shd w:val="clear" w:color="auto" w:fill="auto"/>
            <w:noWrap/>
            <w:vAlign w:val="center"/>
          </w:tcPr>
          <w:p w14:paraId="07B02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2592" w:type="dxa"/>
            <w:vMerge w:val="continue"/>
            <w:tcBorders>
              <w:left w:val="single" w:color="000000" w:sz="4" w:space="0"/>
              <w:bottom w:val="single" w:color="000000" w:sz="4" w:space="0"/>
              <w:right w:val="single" w:color="000000" w:sz="4" w:space="0"/>
            </w:tcBorders>
            <w:shd w:val="clear" w:color="auto" w:fill="auto"/>
            <w:noWrap/>
            <w:vAlign w:val="center"/>
          </w:tcPr>
          <w:p w14:paraId="757007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76464A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2E0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0E0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871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2B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1.3.4 学校各职能部门服务本科教育教学工作情况，本科教育教学工作在学校年度考核中的比重情况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A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1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全校各职能部门</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169A950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1D0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593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2.培养过程</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C0C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2.1</w:t>
            </w:r>
          </w:p>
          <w:p w14:paraId="1414F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培养方案</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09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2.1.1 经过人才培养战略定位论证，培养目标符合学校定位、适应社会经济发展需要、体现学生德智体美劳全面发展情况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7F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10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9B65E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叶非</w:t>
            </w:r>
          </w:p>
        </w:tc>
      </w:tr>
      <w:tr w14:paraId="3CE4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488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0E5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631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2.1.2 培养方案符合国家专业类标准、体现产出导向理念情况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B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0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705C470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5D1B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974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8D9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36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【必选】学生毕业必须修满的公共艺术课程学分数≥2学分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3F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DF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11B97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2A43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A28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48D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A0C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【必选】劳动教育必修课或必修课程中劳动教育模块学时总数≥32学时</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1B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6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1E3EC4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2C8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2DA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CF9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1A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2.1.3</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5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培养方案强化实践教学、突出实验实训内容的基础性和应用性、注重培养学生应用能力情况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04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C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7C2C7CD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CAF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247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9F6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2.2</w:t>
            </w:r>
          </w:p>
          <w:p w14:paraId="6468D3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专业建设</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C40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2.2.1</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F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经过专业结构优化调整论证，专业设置、专业建设与国家重大发展战略及社会对创新型人才需求的契合情况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7D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58862BC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5B4D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808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9AD4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A720">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C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【必选】通过认证（评估）的专业占专业总数的比例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6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03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1F797F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77B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A3E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3CD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8D6B">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8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【可选】近三年新增专业数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38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B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E9B34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4DDE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0316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237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6D6E">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4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【可选】近三年停招专业数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43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DA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851B8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D92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941A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517C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6FD7">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5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【可选】特色应用型专业集群数与覆盖专业数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4C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C48B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2C5D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AEA6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07E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42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2.2.2</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7A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围绕产业链、创新链建立自主性、灵活性与规范性、稳定性相统一的专业设置管理体系情况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33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70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23ECE83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2F3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C29C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3B9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253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2.2.3 学校通过主辅修、微专业、双学士学位和联合学士学位培养等举措促进复合型人才培养情况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4B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1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0C34AC0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868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47D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E93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2.3</w:t>
            </w:r>
          </w:p>
          <w:p w14:paraId="6E578E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实践教学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18C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 xml:space="preserve">2.3.1 </w:t>
            </w:r>
            <w:r>
              <w:rPr>
                <w:rStyle w:val="9"/>
                <w:rFonts w:hint="eastAsia" w:ascii="Times New Roman" w:hAnsi="Times New Roman" w:eastAsia="仿宋" w:cs="仿宋"/>
                <w:color w:val="auto"/>
                <w:sz w:val="24"/>
                <w:szCs w:val="24"/>
                <w:lang w:val="en-US" w:eastAsia="zh-CN" w:bidi="ar"/>
              </w:rPr>
              <w:t>强化实践育人、构建实践教学体系、推动实践教学改革情况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4A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B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75C93F7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596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43F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350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752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【必选】实践教学学分占总学分（学时）比例（人文社科类专业≥15%，理工农医类专业≥25%）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1C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DA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1462C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027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02B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4C7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4D7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【必选】国家级、省级实践教学基地（包括实验教学示范中心、虚拟仿真实验中心、临床教学培训示范中心、工程实践基地、农科教合作人才培养基地等）数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2C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F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4940ED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75C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6E6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C7EF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B8F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2.3.2</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B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学校与企业、行业单位共建实习实训基地情况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4A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0C131AB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43E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B91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71D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F654">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B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【可选】与行业企业共建的实验教学中心、虚拟仿真实验教学项目和综合性实习实训基地数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30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0B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3F8F58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734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F084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666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2DD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2.3.3</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2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毕业论文（设计）选题来自行业企业一线需要、实行校企“双导师”制情况及完成质量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2F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34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21441E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D54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B33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03B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D991">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1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【必选】以实验、实习、工程实践和社会调查等实践性工作为基础的毕业论文（设计）比例≥50%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CC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50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C4712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48A6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5AB9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9D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2.4</w:t>
            </w:r>
          </w:p>
          <w:p w14:paraId="4BC956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课堂教学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686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2.4.1 更新教育教学理念，实施“以学为中心、以教为主导”的课堂教学，开展以学生学习成果为导向的教学评价情况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D4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4973518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8CA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5E9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04F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995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2.4.2 推进信息技术与教学过程融合、加强信息化教学环境与资源建设情况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32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92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网络信息中心</w:t>
            </w:r>
          </w:p>
        </w:tc>
        <w:tc>
          <w:tcPr>
            <w:tcW w:w="1080" w:type="dxa"/>
            <w:vMerge w:val="continue"/>
            <w:tcBorders>
              <w:left w:val="single" w:color="000000" w:sz="4" w:space="0"/>
              <w:right w:val="single" w:color="000000" w:sz="4" w:space="0"/>
            </w:tcBorders>
            <w:shd w:val="clear" w:color="auto" w:fill="auto"/>
            <w:noWrap/>
            <w:vAlign w:val="center"/>
          </w:tcPr>
          <w:p w14:paraId="68D447F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874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0B4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B96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136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9"/>
                <w:rFonts w:hint="eastAsia" w:ascii="Times New Roman" w:hAnsi="Times New Roman" w:eastAsia="仿宋" w:cs="仿宋"/>
                <w:color w:val="auto"/>
                <w:sz w:val="24"/>
                <w:szCs w:val="24"/>
                <w:lang w:val="en-US" w:eastAsia="zh-CN" w:bidi="ar"/>
              </w:rPr>
              <w:t>【可选】</w:t>
            </w:r>
            <w:r>
              <w:rPr>
                <w:rStyle w:val="8"/>
                <w:rFonts w:hint="eastAsia" w:ascii="Times New Roman" w:hAnsi="Times New Roman" w:eastAsia="仿宋" w:cs="仿宋"/>
                <w:color w:val="auto"/>
                <w:sz w:val="24"/>
                <w:szCs w:val="24"/>
                <w:lang w:val="en-US" w:eastAsia="zh-CN" w:bidi="ar"/>
              </w:rPr>
              <w:t>选用及自主开发高水平慕课、微课数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C6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2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51BBE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7658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FD8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FBE1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A81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2.4.3 建立健全教材管理机构和工作制度情况，依照教材审核选用标准和程序选用教材情况；推进马工程重点教材统一使用情况；</w:t>
            </w:r>
            <w:r>
              <w:rPr>
                <w:rStyle w:val="9"/>
                <w:rFonts w:hint="eastAsia" w:ascii="Times New Roman" w:hAnsi="Times New Roman" w:eastAsia="仿宋" w:cs="仿宋"/>
                <w:color w:val="auto"/>
                <w:sz w:val="24"/>
                <w:szCs w:val="24"/>
                <w:lang w:val="en-US" w:eastAsia="zh-CN" w:bidi="ar"/>
              </w:rPr>
              <w:t>对教材选用工作出现负面问题的处理情况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D3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43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5BE6CE4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FBF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A85A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A63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73D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【必选】使用马工程重点教材课程数量与学校应使用马工程重点教材课程数量的比例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6E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1D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0F104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9AD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C92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565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61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9"/>
                <w:rFonts w:hint="eastAsia" w:ascii="Times New Roman" w:hAnsi="Times New Roman" w:eastAsia="仿宋" w:cs="仿宋"/>
                <w:color w:val="auto"/>
                <w:sz w:val="24"/>
                <w:szCs w:val="24"/>
                <w:lang w:val="en-US" w:eastAsia="zh-CN" w:bidi="ar"/>
              </w:rPr>
              <w:t>【可选】</w:t>
            </w:r>
            <w:r>
              <w:rPr>
                <w:rStyle w:val="8"/>
                <w:rFonts w:hint="eastAsia" w:ascii="Times New Roman" w:hAnsi="Times New Roman" w:eastAsia="仿宋" w:cs="仿宋"/>
                <w:color w:val="auto"/>
                <w:sz w:val="24"/>
                <w:szCs w:val="24"/>
                <w:lang w:val="en-US" w:eastAsia="zh-CN" w:bidi="ar"/>
              </w:rPr>
              <w:t>近五年公开出版的教材数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0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6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26A2EA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0DCF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B68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2FA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K 2.5</w:t>
            </w:r>
          </w:p>
          <w:p w14:paraId="43E161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卓越培养</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A7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2.5.1</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63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K2 产教融合卓越人才培养模式改革及其实践效果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A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7D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default"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22DA8D1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355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90A4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F5D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70F9">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B3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【可选】产学合作协同育人项目数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37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69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2C5CF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7CAE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234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B0B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0F1B">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4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【可选】专业特色学院、现代产业学院、卓越人才培养基地数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74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CD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7E4B2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0A01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A88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589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A9E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2.5.2 加强课程体系整体设计，优化公共课、专业基础课和专业课比例结构，提高课程建设规划性、系统性情况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DE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43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6152E59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D9F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012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9B4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A24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【必选】本科生生均课程门数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A9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D8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0D654A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C2B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ABE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11ED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79E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【可选】与行业企业共建、共同讲授的课程数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1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1E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8"/>
                <w:rFonts w:hint="eastAsia" w:ascii="Times New Roman" w:hAnsi="Times New Roman" w:eastAsia="仿宋" w:cs="仿宋"/>
                <w:color w:val="auto"/>
                <w:sz w:val="24"/>
                <w:szCs w:val="24"/>
                <w:lang w:val="en-US" w:eastAsia="zh-CN" w:bidi="ar"/>
              </w:rPr>
            </w:pPr>
            <w:r>
              <w:rPr>
                <w:rStyle w:val="8"/>
                <w:rFonts w:hint="eastAsia" w:ascii="Times New Roman" w:hAnsi="Times New Roman" w:eastAsia="仿宋" w:cs="仿宋"/>
                <w:color w:val="auto"/>
                <w:sz w:val="24"/>
                <w:szCs w:val="24"/>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2DCEAF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3F37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9CB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9FB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A41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2.5.3 新工科、新农科、新医科、新文科建设以及围绕“四新”培育产生的专业、课程、教材情况，围绕“培育高水平教学成果”开展教研教改项目建设的举措及实施成效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5D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Style w:val="8"/>
                <w:rFonts w:hint="eastAsia" w:ascii="Times New Roman" w:hAnsi="Times New Roman" w:eastAsia="仿宋" w:cs="仿宋"/>
                <w:color w:val="auto"/>
                <w:sz w:val="24"/>
                <w:szCs w:val="24"/>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90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4EE1885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1C3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3D2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E285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7EB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2.5.4 一流专业“双万计划”建设举措及成效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20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4E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011F03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CA4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421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4A4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3D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2.5.5 一流课程“双万计划”建设举措及成效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C0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B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766C8AE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587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D38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783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26C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2.5.6 优秀教材建设举措及成效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1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1C37D0B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D26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3AE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9E4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2.6</w:t>
            </w:r>
          </w:p>
          <w:p w14:paraId="2AB38A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创新创业教育</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371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2.6.1 创新创业教育工作体系与创新创业教育平台建设情况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0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84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2541929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FFA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813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2AF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99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2.6.2 将创新创业教育贯穿于人才培养全过程、融入专业教育的举措与成效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A4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89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2F39DA1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A44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A5C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368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836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【可选】开设创新创业课程数及覆盖学生比例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91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8F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6A795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88C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6BA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F83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E84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2.6.3 学生参与创新创业教育积极性及创新创业教育成果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E3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EA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EC0D17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F9D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6FA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F06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CF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【必选】本科生参加各级各类创新创业实践活动人数及比例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57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8D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5748A0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312C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DC35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82C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6B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【必选】“互联网+”大学生创新创业大赛获奖数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40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1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7A1A91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834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743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265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482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【可选】省级以上学科竞赛获奖学生人次数占学生总数的比例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F5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90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20373E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48EB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76A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3.教学资源与利用</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357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shd w:val="clear" w:color="auto" w:fill="auto"/>
                <w:lang w:val="en-US" w:eastAsia="zh-CN" w:bidi="ar"/>
              </w:rPr>
            </w:pPr>
            <w:r>
              <w:rPr>
                <w:rFonts w:hint="eastAsia" w:ascii="Times New Roman" w:hAnsi="Times New Roman" w:eastAsia="仿宋" w:cs="仿宋"/>
                <w:b/>
                <w:bCs/>
                <w:i w:val="0"/>
                <w:iCs w:val="0"/>
                <w:color w:val="auto"/>
                <w:kern w:val="0"/>
                <w:sz w:val="24"/>
                <w:szCs w:val="24"/>
                <w:u w:val="none"/>
                <w:shd w:val="clear" w:color="auto" w:fill="auto"/>
                <w:lang w:val="en-US" w:eastAsia="zh-CN" w:bidi="ar"/>
              </w:rPr>
              <w:t>X3.1</w:t>
            </w:r>
          </w:p>
          <w:p w14:paraId="2B79DC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shd w:val="clear" w:color="auto" w:fill="auto"/>
              </w:rPr>
            </w:pPr>
            <w:r>
              <w:rPr>
                <w:rFonts w:hint="eastAsia" w:ascii="Times New Roman" w:hAnsi="Times New Roman" w:eastAsia="仿宋" w:cs="仿宋"/>
                <w:b/>
                <w:bCs/>
                <w:i w:val="0"/>
                <w:iCs w:val="0"/>
                <w:color w:val="auto"/>
                <w:kern w:val="0"/>
                <w:sz w:val="24"/>
                <w:szCs w:val="24"/>
                <w:u w:val="none"/>
                <w:shd w:val="clear" w:color="auto" w:fill="auto"/>
                <w:lang w:val="en-US" w:eastAsia="zh-CN" w:bidi="ar"/>
              </w:rPr>
              <w:t>设施条件</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DCB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shd w:val="clear" w:color="auto" w:fill="auto"/>
              </w:rPr>
            </w:pPr>
            <w:r>
              <w:rPr>
                <w:rStyle w:val="8"/>
                <w:rFonts w:hint="eastAsia" w:ascii="Times New Roman" w:hAnsi="Times New Roman" w:eastAsia="仿宋" w:cs="仿宋"/>
                <w:color w:val="auto"/>
                <w:sz w:val="24"/>
                <w:szCs w:val="24"/>
                <w:highlight w:val="none"/>
                <w:shd w:val="clear" w:color="auto" w:fill="auto"/>
                <w:lang w:val="en-US" w:eastAsia="zh-CN" w:bidi="ar"/>
              </w:rPr>
              <w:t>X</w:t>
            </w:r>
            <w:r>
              <w:rPr>
                <w:rStyle w:val="9"/>
                <w:rFonts w:hint="eastAsia" w:ascii="Times New Roman" w:hAnsi="Times New Roman" w:eastAsia="仿宋" w:cs="仿宋"/>
                <w:color w:val="auto"/>
                <w:sz w:val="24"/>
                <w:szCs w:val="24"/>
                <w:highlight w:val="none"/>
                <w:shd w:val="clear" w:color="auto" w:fill="auto"/>
                <w:lang w:val="en-US" w:eastAsia="zh-CN" w:bidi="ar"/>
              </w:rPr>
              <w:t xml:space="preserve">3.1.1 </w:t>
            </w:r>
            <w:r>
              <w:rPr>
                <w:rStyle w:val="8"/>
                <w:rFonts w:hint="eastAsia" w:ascii="Times New Roman" w:hAnsi="Times New Roman" w:eastAsia="仿宋" w:cs="仿宋"/>
                <w:color w:val="auto"/>
                <w:sz w:val="24"/>
                <w:szCs w:val="24"/>
                <w:highlight w:val="none"/>
                <w:shd w:val="clear" w:color="auto" w:fill="auto"/>
                <w:lang w:val="en-US" w:eastAsia="zh-CN" w:bidi="ar"/>
              </w:rPr>
              <w:t>教学经费、图书资料、校园网等满足教学要求情况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25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E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财务处、图书馆、网络信息中心</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A5971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sz w:val="24"/>
                <w:szCs w:val="24"/>
                <w:u w:val="none"/>
                <w:shd w:val="clear" w:color="auto" w:fill="auto"/>
                <w:lang w:val="en-US" w:eastAsia="zh-CN"/>
              </w:rPr>
            </w:pPr>
            <w:r>
              <w:rPr>
                <w:rFonts w:hint="eastAsia" w:ascii="Times New Roman" w:hAnsi="Times New Roman" w:eastAsia="仿宋" w:cs="仿宋"/>
                <w:b/>
                <w:bCs/>
                <w:i w:val="0"/>
                <w:iCs w:val="0"/>
                <w:color w:val="auto"/>
                <w:sz w:val="24"/>
                <w:szCs w:val="24"/>
                <w:u w:val="none"/>
                <w:shd w:val="clear" w:color="auto" w:fill="auto"/>
                <w:lang w:val="en-US" w:eastAsia="zh-CN"/>
              </w:rPr>
              <w:t>董颖、叶非</w:t>
            </w:r>
          </w:p>
        </w:tc>
      </w:tr>
      <w:tr w14:paraId="504D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833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8F7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shd w:val="clear" w:color="auto" w:fill="auto"/>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F7E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shd w:val="clear" w:color="auto" w:fill="auto"/>
              </w:rPr>
            </w:pPr>
            <w:r>
              <w:rPr>
                <w:rStyle w:val="8"/>
                <w:rFonts w:hint="eastAsia" w:ascii="Times New Roman" w:hAnsi="Times New Roman" w:eastAsia="仿宋" w:cs="仿宋"/>
                <w:color w:val="auto"/>
                <w:sz w:val="24"/>
                <w:szCs w:val="24"/>
                <w:highlight w:val="none"/>
                <w:shd w:val="clear" w:color="auto" w:fill="auto"/>
                <w:lang w:val="en-US" w:eastAsia="zh-CN" w:bidi="ar"/>
              </w:rPr>
              <w:t>X</w:t>
            </w:r>
            <w:r>
              <w:rPr>
                <w:rStyle w:val="9"/>
                <w:rFonts w:hint="eastAsia" w:ascii="Times New Roman" w:hAnsi="Times New Roman" w:eastAsia="仿宋" w:cs="仿宋"/>
                <w:color w:val="auto"/>
                <w:sz w:val="24"/>
                <w:szCs w:val="24"/>
                <w:highlight w:val="none"/>
                <w:shd w:val="clear" w:color="auto" w:fill="auto"/>
                <w:lang w:val="en-US" w:eastAsia="zh-CN" w:bidi="ar"/>
              </w:rPr>
              <w:t xml:space="preserve">3.1.2 </w:t>
            </w:r>
            <w:r>
              <w:rPr>
                <w:rStyle w:val="8"/>
                <w:rFonts w:hint="eastAsia" w:ascii="Times New Roman" w:hAnsi="Times New Roman" w:eastAsia="仿宋" w:cs="仿宋"/>
                <w:color w:val="auto"/>
                <w:sz w:val="24"/>
                <w:szCs w:val="24"/>
                <w:highlight w:val="none"/>
                <w:shd w:val="clear" w:color="auto" w:fill="auto"/>
                <w:lang w:val="en-US" w:eastAsia="zh-CN" w:bidi="ar"/>
              </w:rPr>
              <w:t>校舍、运动场所、体育设施、艺术场馆、实验室、实习基地及其设施条件满足教学要求情况及利用率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资产管理处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64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相关教学单位</w:t>
            </w:r>
          </w:p>
        </w:tc>
        <w:tc>
          <w:tcPr>
            <w:tcW w:w="1080" w:type="dxa"/>
            <w:vMerge w:val="continue"/>
            <w:tcBorders>
              <w:left w:val="single" w:color="000000" w:sz="4" w:space="0"/>
              <w:right w:val="single" w:color="000000" w:sz="4" w:space="0"/>
            </w:tcBorders>
            <w:shd w:val="clear" w:color="auto" w:fill="auto"/>
            <w:noWrap/>
            <w:vAlign w:val="center"/>
          </w:tcPr>
          <w:p w14:paraId="6A5B16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sz w:val="24"/>
                <w:szCs w:val="24"/>
                <w:u w:val="none"/>
                <w:shd w:val="clear" w:color="auto" w:fill="auto"/>
              </w:rPr>
            </w:pPr>
          </w:p>
        </w:tc>
      </w:tr>
      <w:tr w14:paraId="3BB1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9124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22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3.2</w:t>
            </w:r>
          </w:p>
          <w:p w14:paraId="4D1E5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资源建设</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1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3.2.1</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46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行业企业课程资源库、真实项目案例库建设及共享情况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3F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7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CCF241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055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F0F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36C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7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3.2.2</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1C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面向行业企业实际、产业发展需要的应用型教材建设情况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50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02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621873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CBC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5DEA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AC3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BD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3.2.3</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C3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适应“互联网+”课程教学需要的智慧教室、智能实验室等教学设施和条件建设及使用效果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F9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EE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网络信息中心</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42F32A3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E53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155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0C3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89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3.2.4</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E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K2 产业技术发展成果、产学研合作项目转化为教学资源情况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7E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48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科学研究处、各教学单位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21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682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A39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4.教师队伍</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E21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4.1</w:t>
            </w:r>
          </w:p>
          <w:p w14:paraId="2BA526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师德师风</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AAD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9"/>
                <w:rFonts w:hint="eastAsia" w:ascii="Times New Roman" w:hAnsi="Times New Roman" w:eastAsia="仿宋" w:cs="仿宋"/>
                <w:color w:val="auto"/>
                <w:sz w:val="24"/>
                <w:szCs w:val="24"/>
                <w:lang w:val="en-US" w:eastAsia="zh-CN" w:bidi="ar"/>
              </w:rPr>
              <w:t xml:space="preserve">4.1.1 </w:t>
            </w:r>
            <w:r>
              <w:rPr>
                <w:rStyle w:val="8"/>
                <w:rFonts w:hint="eastAsia" w:ascii="Times New Roman" w:hAnsi="Times New Roman" w:eastAsia="仿宋" w:cs="仿宋"/>
                <w:color w:val="auto"/>
                <w:sz w:val="24"/>
                <w:szCs w:val="24"/>
                <w:lang w:val="en-US" w:eastAsia="zh-CN" w:bidi="ar"/>
              </w:rPr>
              <w:t>保障把教师思想政治建设放在首位、把师德师风作为评价教师的第一标准，强化师德教育、加强师德宣传、严格考核管理、加强制度建设，</w:t>
            </w:r>
            <w:r>
              <w:rPr>
                <w:rStyle w:val="9"/>
                <w:rFonts w:hint="eastAsia" w:ascii="Times New Roman" w:hAnsi="Times New Roman" w:eastAsia="仿宋" w:cs="仿宋"/>
                <w:color w:val="auto"/>
                <w:sz w:val="24"/>
                <w:szCs w:val="24"/>
                <w:lang w:val="en-US" w:eastAsia="zh-CN" w:bidi="ar"/>
              </w:rPr>
              <w:t>落实师德考核贯穿于教育教学全过程等方面</w:t>
            </w:r>
            <w:r>
              <w:rPr>
                <w:rStyle w:val="8"/>
                <w:rFonts w:hint="eastAsia" w:ascii="Times New Roman" w:hAnsi="Times New Roman" w:eastAsia="仿宋" w:cs="仿宋"/>
                <w:color w:val="auto"/>
                <w:sz w:val="24"/>
                <w:szCs w:val="24"/>
                <w:lang w:val="en-US" w:eastAsia="zh-CN" w:bidi="ar"/>
              </w:rPr>
              <w:t>的情况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09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EC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7FA59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常利国</w:t>
            </w:r>
          </w:p>
        </w:tc>
      </w:tr>
      <w:tr w14:paraId="698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C433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EB6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19B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9"/>
                <w:rFonts w:hint="eastAsia" w:ascii="Times New Roman" w:hAnsi="Times New Roman" w:eastAsia="仿宋" w:cs="仿宋"/>
                <w:color w:val="auto"/>
                <w:sz w:val="24"/>
                <w:szCs w:val="24"/>
                <w:lang w:val="en-US" w:eastAsia="zh-CN" w:bidi="ar"/>
              </w:rPr>
              <w:t xml:space="preserve">4.1.2 </w:t>
            </w:r>
            <w:r>
              <w:rPr>
                <w:rStyle w:val="8"/>
                <w:rFonts w:hint="eastAsia" w:ascii="Times New Roman" w:hAnsi="Times New Roman" w:eastAsia="仿宋" w:cs="仿宋"/>
                <w:color w:val="auto"/>
                <w:sz w:val="24"/>
                <w:szCs w:val="24"/>
                <w:lang w:val="en-US" w:eastAsia="zh-CN" w:bidi="ar"/>
              </w:rPr>
              <w:t>教师在争做“四有”好老师、四个“引路人”，自觉遵守《新时代高校教师职业行为十项准则》等方面的情况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B6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D2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2B4A775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4F5E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579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EBB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4.2</w:t>
            </w:r>
          </w:p>
          <w:p w14:paraId="6B82B2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教学能力</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97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4.2.1</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CA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专任教师的专业水平、教学能力、产学研用能力</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63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5F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6946B09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DA8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3372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0C1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8B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4.2.2 提升教师教书育人能力和水平的措施</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CA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A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2C44F80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54B1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810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E88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4.3</w:t>
            </w:r>
          </w:p>
          <w:p w14:paraId="25811E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教学投入</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2A9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4.3.1 教师投入教学、教授全员为本科生授课的激励与约束机制建立情况及实施效果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7D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C4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402B78C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191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C92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9F0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DDE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【必选】主讲本科课程教授占教授总数的比例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9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28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695C1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34B6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9D5D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E22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D4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【必选】教授主讲本科课程人均学时数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8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43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4A364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F28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3D6E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02D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1C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4.3.2 教师特别是教授和副教授开展教学研究、参与教学改革与建设情况及成效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2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87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119A1C9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250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F2C6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C9D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BEA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【必选】教授、副教授担任专业负责人的专业占专业总数的比例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7F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36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34C0BE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33F7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575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C4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4.4</w:t>
            </w:r>
          </w:p>
          <w:p w14:paraId="37D3F4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教师发展</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A89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4.4.1 重视教师培训与职业发展，把习近平总书记关于教育的重要论述作为核心培训课程，把《习近平总书记教育重要论述讲义》作为核心培训教材，加强思政与党务工作队伍建设的举措与成效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A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6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教务处、党委组织部</w:t>
            </w:r>
          </w:p>
        </w:tc>
        <w:tc>
          <w:tcPr>
            <w:tcW w:w="1080" w:type="dxa"/>
            <w:vMerge w:val="continue"/>
            <w:tcBorders>
              <w:left w:val="single" w:color="000000" w:sz="4" w:space="0"/>
              <w:right w:val="single" w:color="000000" w:sz="4" w:space="0"/>
            </w:tcBorders>
            <w:shd w:val="clear" w:color="auto" w:fill="auto"/>
            <w:noWrap/>
            <w:vAlign w:val="center"/>
          </w:tcPr>
          <w:p w14:paraId="11397BA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3AF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2744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949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D4A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4.4.2 加强教师教学发展中心、基层教学组织和青年教师队伍建设举措与成效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67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09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right w:val="single" w:color="000000" w:sz="4" w:space="0"/>
            </w:tcBorders>
            <w:shd w:val="clear" w:color="auto" w:fill="auto"/>
            <w:noWrap/>
            <w:vAlign w:val="center"/>
          </w:tcPr>
          <w:p w14:paraId="7B82EA5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A4D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6F0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65D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963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【必选】设有基层教学组织的专业占专业总数的比例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C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62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2A5BDB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D2E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08D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FF9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A01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【可选】教师发展中心培训本校教师的比例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F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25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528DEA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20D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343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BB5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9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4.4.3</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A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提升教师教学能力、产学研用能力、信息技术应用能力，鼓励教师到业界实践、挂职和承担横向课题的政策措施</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0E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D7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right w:val="single" w:color="000000" w:sz="4" w:space="0"/>
            </w:tcBorders>
            <w:shd w:val="clear" w:color="auto" w:fill="auto"/>
            <w:noWrap/>
            <w:vAlign w:val="center"/>
          </w:tcPr>
          <w:p w14:paraId="10F715C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EF1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1BF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E33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938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4.4.4</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51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双师双能型教师队伍和实践教学教师队伍管理与建设情况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96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81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1080" w:type="dxa"/>
            <w:vMerge w:val="continue"/>
            <w:tcBorders>
              <w:left w:val="single" w:color="000000" w:sz="4" w:space="0"/>
              <w:right w:val="single" w:color="000000" w:sz="4" w:space="0"/>
            </w:tcBorders>
            <w:shd w:val="clear" w:color="auto" w:fill="auto"/>
            <w:noWrap/>
            <w:vAlign w:val="center"/>
          </w:tcPr>
          <w:p w14:paraId="6770F5C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C15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D09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E0C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22C1">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F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【可选】专任教师中双师双能型教师的比例（特色应用型本科示范高校必选）</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A2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8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1758A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27D3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49E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15F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23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4.4.5 教师赴国（境）外交流、访学、参加国际会议、合作研究等情况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C3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DE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6E5787B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114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368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5.学生发展</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A0B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5.1</w:t>
            </w:r>
          </w:p>
          <w:p w14:paraId="06E303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理想信念</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367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5.1.1 学生理想信念和品德修养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87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49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30A0E9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高文举</w:t>
            </w:r>
          </w:p>
        </w:tc>
      </w:tr>
      <w:tr w14:paraId="308C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4631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861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4D8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5.1.2 加强学风建设，教育引导学生爱国、励志、求真、力行情况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B4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1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4A3C2AF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987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BE3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3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5.2</w:t>
            </w:r>
          </w:p>
          <w:p w14:paraId="12A21F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学业成绩及综合素质</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CB8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5.2.1</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2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B2 学生综合应用知识能力和独立解决生产、管理和服务中实际问题能力</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E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40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1B7B17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544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A89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D62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C0AC">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FF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【可选】在学期间获得国家认可的职业资格证书学生数占在校生数的比例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F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29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3E77A7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6F5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BE16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B6F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F8AD">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2F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【可选】本科生以第一作者/通讯作者在公开发行期刊发表的论文数和本科生获批国家发明专利数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5B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75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6CD221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F29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E7B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210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FF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5.2.2 开展通识教育、体育、美育、劳动教育的措施与成效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3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学生处、九大学院</w:t>
            </w:r>
          </w:p>
        </w:tc>
        <w:tc>
          <w:tcPr>
            <w:tcW w:w="1080" w:type="dxa"/>
            <w:vMerge w:val="continue"/>
            <w:tcBorders>
              <w:left w:val="single" w:color="000000" w:sz="4" w:space="0"/>
              <w:right w:val="single" w:color="000000" w:sz="4" w:space="0"/>
            </w:tcBorders>
            <w:shd w:val="clear" w:color="auto" w:fill="auto"/>
            <w:noWrap/>
            <w:vAlign w:val="center"/>
          </w:tcPr>
          <w:p w14:paraId="700846F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239D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549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92A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10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【必选】体质测试达标率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3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体育军事教学研究部</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0EE27D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74C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FD6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AAE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BE0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5.2.3 社团活动、校园文化、社会实践、志愿服务等活动开展情况及育人效果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BF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团委</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B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相关学院</w:t>
            </w:r>
          </w:p>
        </w:tc>
        <w:tc>
          <w:tcPr>
            <w:tcW w:w="1080" w:type="dxa"/>
            <w:vMerge w:val="continue"/>
            <w:tcBorders>
              <w:left w:val="single" w:color="000000" w:sz="4" w:space="0"/>
              <w:right w:val="single" w:color="000000" w:sz="4" w:space="0"/>
            </w:tcBorders>
            <w:shd w:val="clear" w:color="auto" w:fill="auto"/>
            <w:noWrap/>
            <w:vAlign w:val="center"/>
          </w:tcPr>
          <w:p w14:paraId="3646F45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3EF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1E9D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120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490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【可选】省级以上艺术展演、体育竞赛参赛获奖学生人次数占学生总数的比例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C8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团委</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05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相关学院</w:t>
            </w:r>
          </w:p>
        </w:tc>
        <w:tc>
          <w:tcPr>
            <w:tcW w:w="1080" w:type="dxa"/>
            <w:vMerge w:val="continue"/>
            <w:tcBorders>
              <w:left w:val="single" w:color="000000" w:sz="4" w:space="0"/>
              <w:right w:val="single" w:color="000000" w:sz="4" w:space="0"/>
            </w:tcBorders>
            <w:shd w:val="clear" w:color="auto" w:fill="auto"/>
            <w:noWrap/>
            <w:vAlign w:val="center"/>
          </w:tcPr>
          <w:p w14:paraId="2B517C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261E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B6D1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EB7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K 5.3</w:t>
            </w:r>
          </w:p>
          <w:p w14:paraId="122C5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国际视野</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232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8"/>
                <w:rFonts w:hint="eastAsia" w:ascii="Times New Roman" w:hAnsi="Times New Roman" w:eastAsia="仿宋" w:cs="仿宋"/>
                <w:color w:val="auto"/>
                <w:sz w:val="24"/>
                <w:szCs w:val="24"/>
                <w:lang w:val="en-US" w:eastAsia="zh-CN" w:bidi="ar"/>
              </w:rPr>
              <w:t xml:space="preserve">K 5.3.1 </w:t>
            </w:r>
            <w:r>
              <w:rPr>
                <w:rStyle w:val="9"/>
                <w:rFonts w:hint="eastAsia" w:ascii="Times New Roman" w:hAnsi="Times New Roman" w:eastAsia="仿宋" w:cs="仿宋"/>
                <w:color w:val="auto"/>
                <w:sz w:val="24"/>
                <w:szCs w:val="24"/>
                <w:lang w:val="en-US" w:eastAsia="zh-CN" w:bidi="ar"/>
              </w:rPr>
              <w:t>与国（境）外大学合作办学、合作育人以及与本科教育相关的国际交流活动和来华留学生教育开展情况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BB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17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0CAD6B5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6FD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4EC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873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37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Style w:val="9"/>
                <w:rFonts w:hint="eastAsia" w:ascii="Times New Roman" w:hAnsi="Times New Roman" w:eastAsia="仿宋" w:cs="仿宋"/>
                <w:color w:val="auto"/>
                <w:sz w:val="24"/>
                <w:szCs w:val="24"/>
                <w:lang w:val="en-US" w:eastAsia="zh-CN" w:bidi="ar"/>
              </w:rPr>
              <w:t>K</w:t>
            </w:r>
            <w:r>
              <w:rPr>
                <w:rStyle w:val="8"/>
                <w:rFonts w:hint="eastAsia" w:ascii="Times New Roman" w:hAnsi="Times New Roman" w:eastAsia="仿宋" w:cs="仿宋"/>
                <w:color w:val="auto"/>
                <w:sz w:val="24"/>
                <w:szCs w:val="24"/>
                <w:lang w:val="en-US" w:eastAsia="zh-CN" w:bidi="ar"/>
              </w:rPr>
              <w:t xml:space="preserve"> </w:t>
            </w:r>
            <w:r>
              <w:rPr>
                <w:rStyle w:val="9"/>
                <w:rFonts w:hint="eastAsia" w:ascii="Times New Roman" w:hAnsi="Times New Roman" w:eastAsia="仿宋" w:cs="仿宋"/>
                <w:color w:val="auto"/>
                <w:sz w:val="24"/>
                <w:szCs w:val="24"/>
                <w:lang w:val="en-US" w:eastAsia="zh-CN" w:bidi="ar"/>
              </w:rPr>
              <w:t xml:space="preserve">5.3.2 </w:t>
            </w:r>
            <w:r>
              <w:rPr>
                <w:rStyle w:val="8"/>
                <w:rFonts w:hint="eastAsia" w:ascii="Times New Roman" w:hAnsi="Times New Roman" w:eastAsia="仿宋" w:cs="仿宋"/>
                <w:color w:val="auto"/>
                <w:sz w:val="24"/>
                <w:szCs w:val="24"/>
                <w:lang w:val="en-US" w:eastAsia="zh-CN" w:bidi="ar"/>
              </w:rPr>
              <w:t>国</w:t>
            </w:r>
            <w:r>
              <w:rPr>
                <w:rStyle w:val="9"/>
                <w:rFonts w:hint="eastAsia" w:ascii="Times New Roman" w:hAnsi="Times New Roman" w:eastAsia="仿宋" w:cs="仿宋"/>
                <w:color w:val="auto"/>
                <w:sz w:val="24"/>
                <w:szCs w:val="24"/>
                <w:lang w:val="en-US" w:eastAsia="zh-CN" w:bidi="ar"/>
              </w:rPr>
              <w:t>际先进教育理念、优质教育资源的吸收内化、培育和输出共享情况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D0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7C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2DB6A99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692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250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DB2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28A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5.3.3 学生赴国（境）外交流、访学、实习、竞赛、参加国际会议、合作研究等情况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FD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A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753456F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91D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6B6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D5F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ED3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【可选】在学期间赴国（境）外交流、访学、实习的学生数占在校生数的比例</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1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9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542B9F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715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947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0F3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5.4</w:t>
            </w:r>
          </w:p>
          <w:p w14:paraId="6718E4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支持服务</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B3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5.4.1 领导干部和教师参与学生工作的情况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39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A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72CF29B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FAF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58C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731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21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5.4.2 学校开展学生指导服务工作（学业、职业生涯规划、就业、家庭经济困难学生资助、心理健康咨询等）情况，学业导师、心理辅导教师、校医等配备及师生交流活动专门场所建设情况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48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14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0D33E39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914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2AE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999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CA5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【必选】专职辅导员岗位与在校生比例≥1:200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DD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44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学生处</w:t>
            </w:r>
          </w:p>
        </w:tc>
        <w:tc>
          <w:tcPr>
            <w:tcW w:w="1080" w:type="dxa"/>
            <w:vMerge w:val="continue"/>
            <w:tcBorders>
              <w:left w:val="single" w:color="000000" w:sz="4" w:space="0"/>
              <w:right w:val="single" w:color="000000" w:sz="4" w:space="0"/>
            </w:tcBorders>
            <w:shd w:val="clear" w:color="auto" w:fill="auto"/>
            <w:noWrap/>
            <w:vAlign w:val="center"/>
          </w:tcPr>
          <w:p w14:paraId="27FA46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7351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724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CF8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4BF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【必选】专职从事心理健康教育教师与在校生比例≥1:4000且至少2名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7E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8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学生处</w:t>
            </w:r>
          </w:p>
        </w:tc>
        <w:tc>
          <w:tcPr>
            <w:tcW w:w="1080" w:type="dxa"/>
            <w:vMerge w:val="continue"/>
            <w:tcBorders>
              <w:left w:val="single" w:color="000000" w:sz="4" w:space="0"/>
              <w:right w:val="single" w:color="000000" w:sz="4" w:space="0"/>
            </w:tcBorders>
            <w:shd w:val="clear" w:color="auto" w:fill="auto"/>
            <w:noWrap/>
            <w:vAlign w:val="center"/>
          </w:tcPr>
          <w:p w14:paraId="3DD0ED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3054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4C5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750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6E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【必选】专职就业指导教师和专职就业工作人员与应届毕业生比例≥1:500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E7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CE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就业指导处</w:t>
            </w:r>
          </w:p>
        </w:tc>
        <w:tc>
          <w:tcPr>
            <w:tcW w:w="1080" w:type="dxa"/>
            <w:vMerge w:val="continue"/>
            <w:tcBorders>
              <w:left w:val="single" w:color="000000" w:sz="4" w:space="0"/>
              <w:right w:val="single" w:color="000000" w:sz="4" w:space="0"/>
            </w:tcBorders>
            <w:shd w:val="clear" w:color="auto" w:fill="auto"/>
            <w:noWrap/>
            <w:vAlign w:val="center"/>
          </w:tcPr>
          <w:p w14:paraId="79F9A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9BB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C44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A02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5B0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5.4.3 与学分制改革和弹性学习相适应的管理制度、辅修专业制度、双学士学位制度建设情况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77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C4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2883799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A87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D14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6F5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83F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K 5.4.4 探索学生成长增值评价，重视学生学习体验、自我发展能力和职业发展能力的具体措施及实施成效</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2E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38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学生处</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6E946D6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5449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A9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6.质量保障</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EFC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6.1</w:t>
            </w:r>
          </w:p>
          <w:p w14:paraId="05D9CE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质量管理</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CD7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6.1.1 学校质量标准、质量管理制度、质量保障机构及队伍建设情况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F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教务处、全校各单位</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48F38FD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康传红</w:t>
            </w:r>
          </w:p>
        </w:tc>
      </w:tr>
      <w:tr w14:paraId="43A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470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4DE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908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6.1.2 加强考试管理、严肃考试纪律、完善过程性考核与结果性考核有机结合的学业考评制度、严把考试和毕业出口关的情况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5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95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w:t>
            </w:r>
          </w:p>
        </w:tc>
        <w:tc>
          <w:tcPr>
            <w:tcW w:w="1080" w:type="dxa"/>
            <w:vMerge w:val="continue"/>
            <w:tcBorders>
              <w:left w:val="single" w:color="000000" w:sz="4" w:space="0"/>
              <w:right w:val="single" w:color="000000" w:sz="4" w:space="0"/>
            </w:tcBorders>
            <w:shd w:val="clear" w:color="auto" w:fill="auto"/>
            <w:noWrap/>
            <w:vAlign w:val="center"/>
          </w:tcPr>
          <w:p w14:paraId="7984D44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9B9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7C77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A16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6.2</w:t>
            </w:r>
          </w:p>
          <w:p w14:paraId="06DAA2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质量改进</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C33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6.2.1 学校内部质量评估制度的建立及接受外部评估（含院校评估、专业认证等）情况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D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FE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教务处、各教学单位</w:t>
            </w:r>
          </w:p>
        </w:tc>
        <w:tc>
          <w:tcPr>
            <w:tcW w:w="1080" w:type="dxa"/>
            <w:vMerge w:val="continue"/>
            <w:tcBorders>
              <w:left w:val="single" w:color="000000" w:sz="4" w:space="0"/>
              <w:right w:val="single" w:color="000000" w:sz="4" w:space="0"/>
            </w:tcBorders>
            <w:shd w:val="clear" w:color="auto" w:fill="auto"/>
            <w:noWrap/>
            <w:vAlign w:val="center"/>
          </w:tcPr>
          <w:p w14:paraId="65334CF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D6B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E86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2700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D4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6.2.2 质量持续改进机制建设与改进效果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9F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4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教务处、各教学单位</w:t>
            </w:r>
          </w:p>
        </w:tc>
        <w:tc>
          <w:tcPr>
            <w:tcW w:w="1080" w:type="dxa"/>
            <w:vMerge w:val="continue"/>
            <w:tcBorders>
              <w:left w:val="single" w:color="000000" w:sz="4" w:space="0"/>
              <w:right w:val="single" w:color="000000" w:sz="4" w:space="0"/>
            </w:tcBorders>
            <w:shd w:val="clear" w:color="auto" w:fill="auto"/>
            <w:noWrap/>
            <w:vAlign w:val="center"/>
          </w:tcPr>
          <w:p w14:paraId="6CF9FFD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E05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E82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3E0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kern w:val="0"/>
                <w:sz w:val="24"/>
                <w:szCs w:val="24"/>
                <w:u w:val="none"/>
                <w:lang w:val="en-US" w:eastAsia="zh-CN" w:bidi="ar"/>
              </w:rPr>
            </w:pPr>
            <w:r>
              <w:rPr>
                <w:rFonts w:hint="eastAsia" w:ascii="Times New Roman" w:hAnsi="Times New Roman" w:eastAsia="仿宋" w:cs="仿宋"/>
                <w:b/>
                <w:bCs/>
                <w:i w:val="0"/>
                <w:iCs w:val="0"/>
                <w:color w:val="auto"/>
                <w:kern w:val="0"/>
                <w:sz w:val="24"/>
                <w:szCs w:val="24"/>
                <w:u w:val="none"/>
                <w:lang w:val="en-US" w:eastAsia="zh-CN" w:bidi="ar"/>
              </w:rPr>
              <w:t>6.3</w:t>
            </w:r>
          </w:p>
          <w:p w14:paraId="36E29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质量文化</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A2C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6.3.1 自觉、自省、自律、自查、自纠的质量文化建设情况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4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教育教学质量保障与评估中心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5C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全校各单位</w:t>
            </w:r>
          </w:p>
        </w:tc>
        <w:tc>
          <w:tcPr>
            <w:tcW w:w="1080" w:type="dxa"/>
            <w:vMerge w:val="continue"/>
            <w:tcBorders>
              <w:left w:val="single" w:color="000000" w:sz="4" w:space="0"/>
              <w:right w:val="single" w:color="000000" w:sz="4" w:space="0"/>
            </w:tcBorders>
            <w:shd w:val="clear" w:color="auto" w:fill="auto"/>
            <w:noWrap/>
            <w:vAlign w:val="center"/>
          </w:tcPr>
          <w:p w14:paraId="100776B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DC6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8412">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4"/>
                <w:szCs w:val="24"/>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984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3C2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6.3.2 质量信息公开制度及年度质量报告</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1A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教育教学质量保障与评估中心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78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就业指导处</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1152242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E76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384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7.教学成效</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D7E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7.1达成度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A04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7.1.1 学校各专业人才培养目标的达成情况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2B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B1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23DD0B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叶非、</w:t>
            </w:r>
          </w:p>
          <w:p w14:paraId="41434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吴迪</w:t>
            </w:r>
          </w:p>
        </w:tc>
      </w:tr>
      <w:tr w14:paraId="1847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B1E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079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024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7.1.2 毕业生质量持续跟踪评价机制建立情况及跟踪评价结果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08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九大学院</w:t>
            </w:r>
          </w:p>
        </w:tc>
        <w:tc>
          <w:tcPr>
            <w:tcW w:w="1080" w:type="dxa"/>
            <w:vMerge w:val="continue"/>
            <w:tcBorders>
              <w:left w:val="single" w:color="000000" w:sz="4" w:space="0"/>
              <w:right w:val="single" w:color="000000" w:sz="4" w:space="0"/>
            </w:tcBorders>
            <w:shd w:val="clear" w:color="auto" w:fill="auto"/>
            <w:noWrap/>
            <w:vAlign w:val="center"/>
          </w:tcPr>
          <w:p w14:paraId="4E993FC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6B2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8BE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F7A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7.2适应度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CFA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7.2.1 学校本科生源状况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A9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招生工作处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F9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5BF97AC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D22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504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AD65">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514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B 7.2.2</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A3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B2 毕业生面向学校所服务的区域和行业企业就业情况、就业质量及职业发展情况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3F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2A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48C3793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7C1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923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BC89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D813">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66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【可选】升学率（含国内与国外）</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9E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C2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1C9BCA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2BA2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E0D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F57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86E5">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仿宋" w:cs="仿宋"/>
                <w:i w:val="0"/>
                <w:iCs w:val="0"/>
                <w:color w:val="auto"/>
                <w:sz w:val="24"/>
                <w:szCs w:val="24"/>
                <w:u w:val="none"/>
              </w:rPr>
            </w:pP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2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【可选】应届本科生初次就业率及结构</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7D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67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1E629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5177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D0A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9A2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7.3保障度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286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7.3.1 教学经费以及教室、实验室、图书馆、体育场馆、艺术场馆等资源条件满足教学需要情况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2A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2C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财务处、图书馆、九大学院</w:t>
            </w:r>
          </w:p>
        </w:tc>
        <w:tc>
          <w:tcPr>
            <w:tcW w:w="1080" w:type="dxa"/>
            <w:vMerge w:val="continue"/>
            <w:tcBorders>
              <w:left w:val="single" w:color="000000" w:sz="4" w:space="0"/>
              <w:right w:val="single" w:color="000000" w:sz="4" w:space="0"/>
            </w:tcBorders>
            <w:shd w:val="clear" w:color="auto" w:fill="auto"/>
            <w:noWrap/>
            <w:vAlign w:val="center"/>
          </w:tcPr>
          <w:p w14:paraId="3FECC82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1E72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C29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F2A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77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【必选】生均本科实验经费（元）</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5D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财务处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47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right w:val="single" w:color="000000" w:sz="4" w:space="0"/>
            </w:tcBorders>
            <w:shd w:val="clear" w:color="auto" w:fill="auto"/>
            <w:noWrap/>
            <w:vAlign w:val="center"/>
          </w:tcPr>
          <w:p w14:paraId="4E1BA2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E69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4675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9A6C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75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【必选】生均本科实习经费（元）</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5E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财务处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68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1080" w:type="dxa"/>
            <w:vMerge w:val="continue"/>
            <w:tcBorders>
              <w:left w:val="single" w:color="000000" w:sz="4" w:space="0"/>
              <w:right w:val="single" w:color="000000" w:sz="4" w:space="0"/>
            </w:tcBorders>
            <w:shd w:val="clear" w:color="auto" w:fill="auto"/>
            <w:noWrap/>
            <w:vAlign w:val="center"/>
          </w:tcPr>
          <w:p w14:paraId="125D69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60B5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DBC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8CE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571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7.3.2 教师的数量、结构、教学水平、产学研用能力、国际视野、教学投入等满足人才培养需要情况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C5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6B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7A90236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8CB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A26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A69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8AD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【必选】生师比（要求见备注8）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6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B9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40B97B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7A5F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034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7BB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121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【必选】具有硕士学位、博士学位教师占专任教师比例≥50%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3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人事处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B7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2C1853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000000"/>
                <w:sz w:val="24"/>
                <w:szCs w:val="24"/>
                <w:u w:val="none"/>
              </w:rPr>
            </w:pPr>
          </w:p>
        </w:tc>
      </w:tr>
      <w:tr w14:paraId="1C7F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A3D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524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7.4有效度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C4F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7.4.1 学校人才培养各环节有序运行情况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2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F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教育教学质量保障与评估中心、各教学单位</w:t>
            </w:r>
          </w:p>
        </w:tc>
        <w:tc>
          <w:tcPr>
            <w:tcW w:w="1080" w:type="dxa"/>
            <w:vMerge w:val="continue"/>
            <w:tcBorders>
              <w:left w:val="single" w:color="000000" w:sz="4" w:space="0"/>
              <w:right w:val="single" w:color="000000" w:sz="4" w:space="0"/>
            </w:tcBorders>
            <w:shd w:val="clear" w:color="auto" w:fill="auto"/>
            <w:noWrap/>
            <w:vAlign w:val="center"/>
          </w:tcPr>
          <w:p w14:paraId="2E46FF3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30E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536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7BA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7F7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7.4.2 学校人才培养工作持续改进、持续提升情况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5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教务处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9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教育教学质量保障与评估中心、各教学单位</w:t>
            </w:r>
          </w:p>
        </w:tc>
        <w:tc>
          <w:tcPr>
            <w:tcW w:w="1080" w:type="dxa"/>
            <w:vMerge w:val="continue"/>
            <w:tcBorders>
              <w:left w:val="single" w:color="000000" w:sz="4" w:space="0"/>
              <w:right w:val="single" w:color="000000" w:sz="4" w:space="0"/>
            </w:tcBorders>
            <w:shd w:val="clear" w:color="auto" w:fill="auto"/>
            <w:noWrap/>
            <w:vAlign w:val="center"/>
          </w:tcPr>
          <w:p w14:paraId="429B6AD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08C0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04C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F19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0AD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7.4.3 近五年专业领域的优秀毕业生十个典型案例及培养经验</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CB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1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right w:val="single" w:color="000000" w:sz="4" w:space="0"/>
            </w:tcBorders>
            <w:shd w:val="clear" w:color="auto" w:fill="auto"/>
            <w:noWrap/>
            <w:vAlign w:val="center"/>
          </w:tcPr>
          <w:p w14:paraId="4BDD67C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617B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F5DF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19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b/>
                <w:bCs/>
                <w:i w:val="0"/>
                <w:iCs w:val="0"/>
                <w:color w:val="auto"/>
                <w:sz w:val="24"/>
                <w:szCs w:val="24"/>
                <w:u w:val="none"/>
              </w:rPr>
            </w:pPr>
            <w:r>
              <w:rPr>
                <w:rFonts w:hint="eastAsia" w:ascii="Times New Roman" w:hAnsi="Times New Roman" w:eastAsia="仿宋" w:cs="仿宋"/>
                <w:b/>
                <w:bCs/>
                <w:i w:val="0"/>
                <w:iCs w:val="0"/>
                <w:color w:val="auto"/>
                <w:kern w:val="0"/>
                <w:sz w:val="24"/>
                <w:szCs w:val="24"/>
                <w:u w:val="none"/>
                <w:lang w:val="en-US" w:eastAsia="zh-CN" w:bidi="ar"/>
              </w:rPr>
              <w:t>7.5满意度</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B7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7.5.1 学生（毕业生与在校生）对学习与成长的满意度</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2D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62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学生处</w:t>
            </w:r>
          </w:p>
        </w:tc>
        <w:tc>
          <w:tcPr>
            <w:tcW w:w="1080" w:type="dxa"/>
            <w:vMerge w:val="continue"/>
            <w:tcBorders>
              <w:left w:val="single" w:color="000000" w:sz="4" w:space="0"/>
              <w:right w:val="single" w:color="000000" w:sz="4" w:space="0"/>
            </w:tcBorders>
            <w:shd w:val="clear" w:color="auto" w:fill="auto"/>
            <w:noWrap/>
            <w:vAlign w:val="center"/>
          </w:tcPr>
          <w:p w14:paraId="56ED36E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FE1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531B">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1CB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2D7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7.5.2 教师对学校教育教学工作的满意度</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4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教师发展中心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5D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p>
        </w:tc>
        <w:tc>
          <w:tcPr>
            <w:tcW w:w="1080" w:type="dxa"/>
            <w:vMerge w:val="continue"/>
            <w:tcBorders>
              <w:left w:val="single" w:color="000000" w:sz="4" w:space="0"/>
              <w:right w:val="single" w:color="000000" w:sz="4" w:space="0"/>
            </w:tcBorders>
            <w:shd w:val="clear" w:color="auto" w:fill="auto"/>
            <w:noWrap/>
            <w:vAlign w:val="center"/>
          </w:tcPr>
          <w:p w14:paraId="55294CF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5E1C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09A4">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宋体"/>
                <w:b/>
                <w:bCs/>
                <w:i w:val="0"/>
                <w:iCs w:val="0"/>
                <w:color w:val="000000"/>
                <w:sz w:val="21"/>
                <w:szCs w:val="21"/>
                <w:u w:val="none"/>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7F3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b/>
                <w:bCs/>
                <w:i w:val="0"/>
                <w:iCs w:val="0"/>
                <w:color w:val="auto"/>
                <w:sz w:val="24"/>
                <w:szCs w:val="24"/>
                <w:u w:val="none"/>
              </w:rPr>
            </w:pP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7FB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仿宋" w:cs="仿宋"/>
                <w:i w:val="0"/>
                <w:iCs w:val="0"/>
                <w:color w:val="auto"/>
                <w:sz w:val="24"/>
                <w:szCs w:val="24"/>
                <w:u w:val="none"/>
              </w:rPr>
            </w:pPr>
            <w:r>
              <w:rPr>
                <w:rFonts w:hint="eastAsia" w:ascii="Times New Roman" w:hAnsi="Times New Roman" w:eastAsia="仿宋" w:cs="仿宋"/>
                <w:i w:val="0"/>
                <w:iCs w:val="0"/>
                <w:color w:val="auto"/>
                <w:kern w:val="0"/>
                <w:sz w:val="24"/>
                <w:szCs w:val="24"/>
                <w:u w:val="none"/>
                <w:lang w:val="en-US" w:eastAsia="zh-CN" w:bidi="ar"/>
              </w:rPr>
              <w:t>7.5.3 用人单位的满意度</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40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就业指导处</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0F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各教学单位</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5A92F4E8">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仿宋" w:cs="仿宋"/>
                <w:i w:val="0"/>
                <w:iCs w:val="0"/>
                <w:color w:val="000000"/>
                <w:sz w:val="24"/>
                <w:szCs w:val="24"/>
                <w:u w:val="none"/>
              </w:rPr>
            </w:pPr>
          </w:p>
        </w:tc>
      </w:tr>
      <w:tr w14:paraId="7D41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52" w:type="dxa"/>
            <w:gridSpan w:val="2"/>
            <w:tcBorders>
              <w:top w:val="nil"/>
              <w:left w:val="nil"/>
              <w:bottom w:val="nil"/>
              <w:right w:val="nil"/>
            </w:tcBorders>
            <w:shd w:val="clear" w:color="auto" w:fill="auto"/>
            <w:vAlign w:val="center"/>
          </w:tcPr>
          <w:p w14:paraId="14AEF7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bookmarkStart w:id="0" w:name="_GoBack" w:colFirst="0" w:colLast="6"/>
          </w:p>
        </w:tc>
        <w:tc>
          <w:tcPr>
            <w:tcW w:w="10714" w:type="dxa"/>
            <w:gridSpan w:val="6"/>
            <w:tcBorders>
              <w:top w:val="nil"/>
              <w:left w:val="nil"/>
              <w:bottom w:val="nil"/>
              <w:right w:val="nil"/>
            </w:tcBorders>
            <w:shd w:val="clear" w:color="auto" w:fill="auto"/>
            <w:vAlign w:val="center"/>
          </w:tcPr>
          <w:p w14:paraId="34DD7F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Style w:val="10"/>
                <w:rFonts w:ascii="Times New Roman" w:hAnsi="Times New Roman"/>
                <w:color w:val="auto"/>
                <w:lang w:val="en-US" w:eastAsia="zh-CN" w:bidi="ar"/>
              </w:rPr>
            </w:pPr>
          </w:p>
          <w:p w14:paraId="6FD693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备注：</w:t>
            </w:r>
          </w:p>
          <w:p w14:paraId="43FD01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1"/>
                <w:rFonts w:ascii="Times New Roman" w:hAnsi="Times New Roman"/>
                <w:color w:val="auto"/>
                <w:lang w:val="en-US" w:eastAsia="zh-CN" w:bidi="ar"/>
              </w:rPr>
            </w:pPr>
            <w:r>
              <w:rPr>
                <w:rStyle w:val="10"/>
                <w:rFonts w:ascii="Times New Roman" w:hAnsi="Times New Roman"/>
                <w:color w:val="auto"/>
                <w:lang w:val="en-US" w:eastAsia="zh-CN" w:bidi="ar"/>
              </w:rPr>
              <w:t>1. 第二类审核评估分为三种，学校可根据自身实际情况，选择且只能选择其中一种。</w:t>
            </w:r>
            <w:r>
              <w:rPr>
                <w:rStyle w:val="11"/>
                <w:rFonts w:ascii="Times New Roman" w:hAnsi="Times New Roman"/>
                <w:color w:val="auto"/>
                <w:lang w:val="en-US" w:eastAsia="zh-CN" w:bidi="ar"/>
              </w:rPr>
              <w:t>我校为省属高校审核评估第二类第二种类型：已参加过上一轮审核评估，重点以应用型人才培养为主要方向的普通本科高校。</w:t>
            </w:r>
          </w:p>
          <w:p w14:paraId="6A37CC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2. 二级指标和审核重点包括统一必选项、类型必选项、特色可选项、首评限选项。</w:t>
            </w:r>
          </w:p>
          <w:p w14:paraId="556C3E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1"/>
                <w:rFonts w:ascii="Times New Roman" w:hAnsi="Times New Roman"/>
                <w:color w:val="auto"/>
                <w:lang w:val="en-US" w:eastAsia="zh-CN" w:bidi="ar"/>
              </w:rPr>
            </w:pPr>
            <w:r>
              <w:rPr>
                <w:rStyle w:val="11"/>
                <w:rFonts w:ascii="Times New Roman" w:hAnsi="Times New Roman"/>
                <w:color w:val="auto"/>
                <w:lang w:val="en-US" w:eastAsia="zh-CN" w:bidi="ar"/>
              </w:rPr>
              <w:t>——“统一必选项”无特殊标识，所有高校必须选择；</w:t>
            </w:r>
          </w:p>
          <w:p w14:paraId="6E2306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2"/>
                <w:rFonts w:ascii="Times New Roman" w:hAnsi="Times New Roman"/>
                <w:color w:val="auto"/>
                <w:lang w:val="en-US" w:eastAsia="zh-CN" w:bidi="ar"/>
              </w:rPr>
            </w:pPr>
            <w:r>
              <w:rPr>
                <w:rStyle w:val="11"/>
                <w:rFonts w:ascii="Times New Roman" w:hAnsi="Times New Roman"/>
                <w:color w:val="auto"/>
                <w:lang w:val="en-US" w:eastAsia="zh-CN" w:bidi="ar"/>
              </w:rPr>
              <w:t>——“类型必选项”标识“B”，</w:t>
            </w:r>
            <w:r>
              <w:rPr>
                <w:rStyle w:val="12"/>
                <w:rFonts w:ascii="Times New Roman" w:hAnsi="Times New Roman"/>
                <w:color w:val="auto"/>
                <w:lang w:val="en-US" w:eastAsia="zh-CN" w:bidi="ar"/>
              </w:rPr>
              <w:t>选择第一种的高校须统一选择“B1”，</w:t>
            </w:r>
            <w:r>
              <w:rPr>
                <w:rStyle w:val="11"/>
                <w:rFonts w:ascii="Times New Roman" w:hAnsi="Times New Roman"/>
                <w:color w:val="auto"/>
                <w:lang w:val="en-US" w:eastAsia="zh-CN" w:bidi="ar"/>
              </w:rPr>
              <w:t>选择第二种的高校须统一选择“B2”；</w:t>
            </w:r>
            <w:r>
              <w:rPr>
                <w:rStyle w:val="12"/>
                <w:rFonts w:ascii="Times New Roman" w:hAnsi="Times New Roman"/>
                <w:color w:val="auto"/>
                <w:lang w:val="en-US" w:eastAsia="zh-CN" w:bidi="ar"/>
              </w:rPr>
              <w:t>选择第三种的高校原则上选择“B2”；</w:t>
            </w:r>
          </w:p>
          <w:p w14:paraId="58BC8A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2"/>
                <w:rFonts w:ascii="Times New Roman" w:hAnsi="Times New Roman"/>
                <w:color w:val="auto"/>
                <w:lang w:val="en-US" w:eastAsia="zh-CN" w:bidi="ar"/>
              </w:rPr>
            </w:pPr>
            <w:r>
              <w:rPr>
                <w:rStyle w:val="11"/>
                <w:rFonts w:ascii="Times New Roman" w:hAnsi="Times New Roman"/>
                <w:color w:val="auto"/>
                <w:lang w:val="en-US" w:eastAsia="zh-CN" w:bidi="ar"/>
              </w:rPr>
              <w:t>——“特色可选项”标识“K”，高校可根据办学定位和人才培养目标自主选择，</w:t>
            </w:r>
            <w:r>
              <w:rPr>
                <w:rStyle w:val="12"/>
                <w:rFonts w:ascii="Times New Roman" w:hAnsi="Times New Roman"/>
                <w:color w:val="auto"/>
                <w:lang w:val="en-US" w:eastAsia="zh-CN" w:bidi="ar"/>
              </w:rPr>
              <w:t>其中：第一种与“K1”选项对应，</w:t>
            </w:r>
            <w:r>
              <w:rPr>
                <w:rStyle w:val="11"/>
                <w:rFonts w:ascii="Times New Roman" w:hAnsi="Times New Roman"/>
                <w:color w:val="auto"/>
                <w:lang w:val="en-US" w:eastAsia="zh-CN" w:bidi="ar"/>
              </w:rPr>
              <w:t>第二种与“K2”选项对应；</w:t>
            </w:r>
            <w:r>
              <w:rPr>
                <w:rStyle w:val="12"/>
                <w:rFonts w:ascii="Times New Roman" w:hAnsi="Times New Roman"/>
                <w:color w:val="auto"/>
                <w:lang w:val="en-US" w:eastAsia="zh-CN" w:bidi="ar"/>
              </w:rPr>
              <w:t>第三种原则上与“K2”选项对应；</w:t>
            </w:r>
          </w:p>
          <w:p w14:paraId="5306FD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1"/>
                <w:rFonts w:ascii="Times New Roman" w:hAnsi="Times New Roman"/>
                <w:color w:val="auto"/>
                <w:lang w:val="en-US" w:eastAsia="zh-CN" w:bidi="ar"/>
              </w:rPr>
            </w:pPr>
            <w:r>
              <w:rPr>
                <w:rStyle w:val="11"/>
                <w:rFonts w:ascii="Times New Roman" w:hAnsi="Times New Roman"/>
                <w:color w:val="auto"/>
                <w:lang w:val="en-US" w:eastAsia="zh-CN" w:bidi="ar"/>
              </w:rPr>
              <w:t>——“首评限选项”标识“X”，选择第三种的高校必须选择，其他高校不用选择。</w:t>
            </w:r>
          </w:p>
          <w:p w14:paraId="4F4F4E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3. 审核重点中定量指标的具体要求可参考国家相关标准。其中，【必选】是指该定量指标学校必须选择；【可选】是指该定量指标学校可根据自身发展需要和实际情况自主选择至少8项。</w:t>
            </w:r>
          </w:p>
          <w:p w14:paraId="308DF3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4. 表中定量指标计算原则上参照《中国教育监测与评价统计指标体系（2020年版）》（教发〔2020〕6号）。</w:t>
            </w:r>
          </w:p>
          <w:p w14:paraId="275D1C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5. 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3C51B0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6. 年新增教学科研仪器设备所占比例（参照教育部教发〔2004〕2号文件）：年新增教学科研仪器设备所占比例≥10%。凡教学仪器设备总值超过1亿元的高校，当年新增教学仪器设备值超过1000万元，该项指标即为合格。</w:t>
            </w:r>
          </w:p>
          <w:p w14:paraId="1173C8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7. 生均教学科研仪器设备值=普通高校教学与科研仪器设备总资产值/折合在校生数（参照教育部教发〔2004〕2号文件），综合、师范、民族院校，工科、农、林院校和医学院校≥5000元/生，体育、艺术院校≥4000元/生，语文、财经、政法院校≥3000元/生。</w:t>
            </w:r>
          </w:p>
          <w:p w14:paraId="29CE34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8. 生师比=折合在校生数/专任教师总数（参照教育部教发〔2004〕2号文件），综合、师范、民族院校，工科、农、林院校和语文、财经、政法院校≤18:1；医学院校≤16:1；体育、艺术院校≤11:1。</w:t>
            </w:r>
          </w:p>
          <w:p w14:paraId="594622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10"/>
                <w:rFonts w:ascii="Times New Roman" w:hAnsi="Times New Roman"/>
                <w:color w:val="auto"/>
                <w:lang w:val="en-US" w:eastAsia="zh-CN" w:bidi="ar"/>
              </w:rPr>
            </w:pPr>
            <w:r>
              <w:rPr>
                <w:rStyle w:val="10"/>
                <w:rFonts w:ascii="Times New Roman" w:hAnsi="Times New Roman"/>
                <w:color w:val="auto"/>
                <w:lang w:val="en-US" w:eastAsia="zh-CN" w:bidi="ar"/>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62EE8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宋体"/>
                <w:b/>
                <w:bCs/>
                <w:i w:val="0"/>
                <w:iCs w:val="0"/>
                <w:color w:val="auto"/>
                <w:sz w:val="22"/>
                <w:szCs w:val="22"/>
                <w:u w:val="none"/>
              </w:rPr>
            </w:pPr>
            <w:r>
              <w:rPr>
                <w:rStyle w:val="10"/>
                <w:rFonts w:ascii="Times New Roman" w:hAnsi="Times New Roman"/>
                <w:color w:val="auto"/>
                <w:lang w:val="en-US" w:eastAsia="zh-CN" w:bidi="ar"/>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tc>
      </w:tr>
      <w:bookmarkEnd w:id="0"/>
    </w:tbl>
    <w:p w14:paraId="22676E11">
      <w:pPr>
        <w:keepNext w:val="0"/>
        <w:keepLines w:val="0"/>
        <w:widowControl/>
        <w:suppressLineNumbers w:val="0"/>
        <w:spacing w:line="240" w:lineRule="auto"/>
        <w:jc w:val="left"/>
        <w:rPr>
          <w:rFonts w:ascii="仿宋_GB2312" w:hAnsi="仿宋_GB2312" w:eastAsia="仿宋_GB2312" w:cs="仿宋_GB2312"/>
          <w:color w:val="000000"/>
          <w:kern w:val="0"/>
          <w:sz w:val="28"/>
          <w:szCs w:val="28"/>
          <w:lang w:val="en-US" w:eastAsia="zh-CN" w:bidi="ar"/>
        </w:rPr>
      </w:pPr>
    </w:p>
    <w:sectPr>
      <w:footerReference r:id="rId3" w:type="default"/>
      <w:pgSz w:w="16838" w:h="11906" w:orient="landscape"/>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F0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6CA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86CA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NTVjODU4NmNlMDhmYjQxZGM2MmEwODlmMTExOTEifQ=="/>
  </w:docVars>
  <w:rsids>
    <w:rsidRoot w:val="00000000"/>
    <w:rsid w:val="00757B9E"/>
    <w:rsid w:val="0E2208F7"/>
    <w:rsid w:val="0FD159A8"/>
    <w:rsid w:val="11845E93"/>
    <w:rsid w:val="14EB7FD7"/>
    <w:rsid w:val="16492D73"/>
    <w:rsid w:val="17DF51B5"/>
    <w:rsid w:val="18412583"/>
    <w:rsid w:val="1E993DE9"/>
    <w:rsid w:val="23857428"/>
    <w:rsid w:val="23A60F04"/>
    <w:rsid w:val="2A68414C"/>
    <w:rsid w:val="2B587012"/>
    <w:rsid w:val="2BE76C85"/>
    <w:rsid w:val="2DFE0923"/>
    <w:rsid w:val="2E407D7B"/>
    <w:rsid w:val="2F3E38AF"/>
    <w:rsid w:val="30B05F05"/>
    <w:rsid w:val="362F30B5"/>
    <w:rsid w:val="37C036A0"/>
    <w:rsid w:val="3B223D5B"/>
    <w:rsid w:val="40FE4D20"/>
    <w:rsid w:val="448E3B44"/>
    <w:rsid w:val="45732F3D"/>
    <w:rsid w:val="46671F0D"/>
    <w:rsid w:val="49E5758D"/>
    <w:rsid w:val="4A6A158B"/>
    <w:rsid w:val="4DB358F6"/>
    <w:rsid w:val="4EEA4DBC"/>
    <w:rsid w:val="50C36014"/>
    <w:rsid w:val="51491AC5"/>
    <w:rsid w:val="520D53A9"/>
    <w:rsid w:val="54FE2E33"/>
    <w:rsid w:val="56986F93"/>
    <w:rsid w:val="58FD3402"/>
    <w:rsid w:val="5B6234AA"/>
    <w:rsid w:val="5D6313BB"/>
    <w:rsid w:val="5DAA4862"/>
    <w:rsid w:val="5EE51E8E"/>
    <w:rsid w:val="5F8B2A55"/>
    <w:rsid w:val="6084635E"/>
    <w:rsid w:val="633E5E1E"/>
    <w:rsid w:val="64691F26"/>
    <w:rsid w:val="648F687F"/>
    <w:rsid w:val="664076B7"/>
    <w:rsid w:val="66793140"/>
    <w:rsid w:val="684A2FBC"/>
    <w:rsid w:val="69421A7E"/>
    <w:rsid w:val="69487CFD"/>
    <w:rsid w:val="6FDA3F81"/>
    <w:rsid w:val="72287ACB"/>
    <w:rsid w:val="77FD2626"/>
    <w:rsid w:val="7CA74C9B"/>
    <w:rsid w:val="7DC4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51"/>
    <w:basedOn w:val="5"/>
    <w:qFormat/>
    <w:uiPriority w:val="0"/>
    <w:rPr>
      <w:rFonts w:hint="eastAsia" w:ascii="宋体" w:hAnsi="宋体" w:eastAsia="宋体" w:cs="宋体"/>
      <w:color w:val="000000"/>
      <w:sz w:val="21"/>
      <w:szCs w:val="21"/>
      <w:u w:val="none"/>
    </w:rPr>
  </w:style>
  <w:style w:type="character" w:customStyle="1" w:styleId="9">
    <w:name w:val="font71"/>
    <w:basedOn w:val="5"/>
    <w:autoRedefine/>
    <w:qFormat/>
    <w:uiPriority w:val="0"/>
    <w:rPr>
      <w:rFonts w:hint="eastAsia" w:ascii="宋体" w:hAnsi="宋体" w:eastAsia="宋体" w:cs="宋体"/>
      <w:color w:val="000000"/>
      <w:sz w:val="21"/>
      <w:szCs w:val="21"/>
      <w:u w:val="none"/>
    </w:rPr>
  </w:style>
  <w:style w:type="character" w:customStyle="1" w:styleId="10">
    <w:name w:val="font12"/>
    <w:basedOn w:val="5"/>
    <w:autoRedefine/>
    <w:qFormat/>
    <w:uiPriority w:val="0"/>
    <w:rPr>
      <w:rFonts w:hint="eastAsia" w:ascii="宋体" w:hAnsi="宋体" w:eastAsia="宋体" w:cs="宋体"/>
      <w:b/>
      <w:bCs/>
      <w:color w:val="000000"/>
      <w:sz w:val="22"/>
      <w:szCs w:val="22"/>
      <w:u w:val="none"/>
    </w:rPr>
  </w:style>
  <w:style w:type="character" w:customStyle="1" w:styleId="11">
    <w:name w:val="font101"/>
    <w:basedOn w:val="5"/>
    <w:autoRedefine/>
    <w:qFormat/>
    <w:uiPriority w:val="0"/>
    <w:rPr>
      <w:rFonts w:hint="eastAsia" w:ascii="宋体" w:hAnsi="宋体" w:eastAsia="宋体" w:cs="宋体"/>
      <w:b/>
      <w:bCs/>
      <w:color w:val="FF0000"/>
      <w:sz w:val="22"/>
      <w:szCs w:val="22"/>
      <w:u w:val="none"/>
    </w:rPr>
  </w:style>
  <w:style w:type="character" w:customStyle="1" w:styleId="12">
    <w:name w:val="font111"/>
    <w:basedOn w:val="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7226</Words>
  <Characters>7773</Characters>
  <Lines>0</Lines>
  <Paragraphs>0</Paragraphs>
  <TotalTime>2</TotalTime>
  <ScaleCrop>false</ScaleCrop>
  <LinksUpToDate>false</LinksUpToDate>
  <CharactersWithSpaces>7891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2024-07-11T01:19:00Z</dcterms:created>
  <dc:creator>沈振华</dc:creator>
  <cp:lastModifiedBy>沈小白</cp:lastModifiedBy>
  <cp:lastPrinted>2024-10-21T04:25:00Z</cp:lastPrinted>
  <dcterms:modified xsi:type="dcterms:W3CDTF">2024-10-22T06:07:17Z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797EED6914D143E6B810299439E406C4_13</vt:lpwstr>
  </property>
</Properties>
</file>