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D0" w:rsidRDefault="00034075">
      <w:pPr>
        <w:spacing w:line="560" w:lineRule="exact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514D0" w:rsidRPr="00644019" w:rsidRDefault="006E0EAE" w:rsidP="006E0EAE">
      <w:pPr>
        <w:adjustRightInd w:val="0"/>
        <w:snapToGrid w:val="0"/>
        <w:jc w:val="center"/>
        <w:rPr>
          <w:rFonts w:ascii="黑体" w:eastAsia="黑体" w:hAnsi="黑体"/>
          <w:b/>
          <w:sz w:val="44"/>
          <w:szCs w:val="44"/>
        </w:rPr>
      </w:pPr>
      <w:r w:rsidRPr="00644019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2023年度第二批智库项目选题方向</w:t>
      </w:r>
    </w:p>
    <w:tbl>
      <w:tblPr>
        <w:tblW w:w="8975" w:type="dxa"/>
        <w:jc w:val="center"/>
        <w:tblInd w:w="-1647" w:type="dxa"/>
        <w:tblLayout w:type="fixed"/>
        <w:tblLook w:val="04A0" w:firstRow="1" w:lastRow="0" w:firstColumn="1" w:lastColumn="0" w:noHBand="0" w:noVBand="1"/>
      </w:tblPr>
      <w:tblGrid>
        <w:gridCol w:w="889"/>
        <w:gridCol w:w="8086"/>
      </w:tblGrid>
      <w:tr w:rsidR="006E0EAE" w:rsidTr="00644019">
        <w:trPr>
          <w:trHeight w:val="74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课题名称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伊春市冰雪经济高质量发展对策研究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黑河市对俄经贸合作高质量发展对策研究</w:t>
            </w:r>
          </w:p>
        </w:tc>
        <w:bookmarkStart w:id="0" w:name="_GoBack"/>
        <w:bookmarkEnd w:id="0"/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黑龙江省森工文化旅游品牌设计与宣传研究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黑龙江省高校毕业生留省就业形势与对策研究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黑龙江省林业</w:t>
            </w:r>
            <w:proofErr w:type="gramStart"/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碳汇经济</w:t>
            </w:r>
            <w:proofErr w:type="gramEnd"/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发展潜力与对策研究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黑龙江省区域教育生态监测与评价研究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黑龙江省自然资源所有权与监管权法理研究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黑龙江省社会化工会工作者管理服务评价指标体系研究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黑龙江省省直机关事务统一管理机制研究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黑龙江省新社会阶层青年思想状况研究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黑龙江省青年发展型城市就业创业环境优化研究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以检察工作现代化推动中国式现代化龙江建设研究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加强黑龙江省产业工人意识形态工作研究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构建黑龙江省网络统战工作新机制研究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七台</w:t>
            </w:r>
            <w:proofErr w:type="gramStart"/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河市民</w:t>
            </w:r>
            <w:proofErr w:type="gramEnd"/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营经济振兴发展研究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绥化市建设现代物流枢纽城市对策研究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17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完善少捕</w:t>
            </w:r>
            <w:proofErr w:type="gramStart"/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慎诉慎押</w:t>
            </w:r>
            <w:proofErr w:type="gramEnd"/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刑事司法政策综合配套机制研究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18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鸡西市加快发展全域旅游对策研究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19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“大食物观”视域下黑龙江省林下经济高质量发展研究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20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黑龙江省“三北”防护林资源保护对策研究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21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黑龙江省林草</w:t>
            </w:r>
            <w:proofErr w:type="gramStart"/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碳汇经济</w:t>
            </w:r>
            <w:proofErr w:type="gramEnd"/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发展路径研究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22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大庆文化创意设计产业高质量发展研究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23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大庆数字产业化水平评价及对策研究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24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新时代传承弘扬大庆精神（铁人精神）研究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25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科技创新驱动战略性新兴产业和未来产业发展研究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lastRenderedPageBreak/>
              <w:t>26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黑龙江省</w:t>
            </w:r>
            <w:proofErr w:type="gramStart"/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环大学</w:t>
            </w:r>
            <w:proofErr w:type="gramEnd"/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大院大所创新创业生态圈建设研究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27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机构编制质量评估指标体系建构研究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28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牡丹江通道优势转化赋能研究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29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未成年人罪错行为分级干预机制研究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30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行政执法与刑事司法“反向衔接”问题研究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31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黑土地耕作层表土剥离利用研究</w:t>
            </w:r>
          </w:p>
        </w:tc>
      </w:tr>
      <w:tr w:rsidR="006E0EAE" w:rsidTr="00644019">
        <w:trPr>
          <w:trHeight w:val="460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32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AE" w:rsidRPr="00644019" w:rsidRDefault="006E0EAE" w:rsidP="00644019">
            <w:pPr>
              <w:adjustRightInd w:val="0"/>
              <w:snapToGrid w:val="0"/>
              <w:rPr>
                <w:rFonts w:ascii="仿宋" w:eastAsia="仿宋" w:hAnsi="仿宋" w:cs="宋体"/>
                <w:color w:val="3D3C3C"/>
                <w:sz w:val="30"/>
                <w:szCs w:val="30"/>
              </w:rPr>
            </w:pPr>
            <w:r w:rsidRPr="00644019">
              <w:rPr>
                <w:rFonts w:ascii="仿宋" w:eastAsia="仿宋" w:hAnsi="仿宋" w:hint="eastAsia"/>
                <w:color w:val="3D3C3C"/>
                <w:sz w:val="30"/>
                <w:szCs w:val="30"/>
              </w:rPr>
              <w:t>自然资源卫星技术运用助力黑龙江省沿边开放发展对策研究</w:t>
            </w:r>
          </w:p>
        </w:tc>
      </w:tr>
    </w:tbl>
    <w:p w:rsidR="005514D0" w:rsidRDefault="005514D0" w:rsidP="0013022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sectPr w:rsidR="005514D0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GYwNGIxM2JhOWFjZTUzMWUzNzk2MWE4OTI1MjIifQ=="/>
  </w:docVars>
  <w:rsids>
    <w:rsidRoot w:val="005514D0"/>
    <w:rsid w:val="00034075"/>
    <w:rsid w:val="00130221"/>
    <w:rsid w:val="001F11C8"/>
    <w:rsid w:val="005514D0"/>
    <w:rsid w:val="00644019"/>
    <w:rsid w:val="006B5573"/>
    <w:rsid w:val="006E0EAE"/>
    <w:rsid w:val="00912498"/>
    <w:rsid w:val="01787946"/>
    <w:rsid w:val="04DF5F2E"/>
    <w:rsid w:val="0A1B6E7F"/>
    <w:rsid w:val="0AE5147A"/>
    <w:rsid w:val="0C540FAF"/>
    <w:rsid w:val="0E401CB6"/>
    <w:rsid w:val="0E7E7133"/>
    <w:rsid w:val="0EAC0C2F"/>
    <w:rsid w:val="12A3059B"/>
    <w:rsid w:val="145A33F5"/>
    <w:rsid w:val="1E6F1C79"/>
    <w:rsid w:val="1F1A1BE5"/>
    <w:rsid w:val="25030EBC"/>
    <w:rsid w:val="279B763B"/>
    <w:rsid w:val="2A04596B"/>
    <w:rsid w:val="2EE71519"/>
    <w:rsid w:val="30B22AD3"/>
    <w:rsid w:val="31772EC7"/>
    <w:rsid w:val="3337290D"/>
    <w:rsid w:val="36BD5820"/>
    <w:rsid w:val="38515AF3"/>
    <w:rsid w:val="3AF66579"/>
    <w:rsid w:val="3B2D1C39"/>
    <w:rsid w:val="3D3C3E0D"/>
    <w:rsid w:val="3DF37D79"/>
    <w:rsid w:val="3E06185A"/>
    <w:rsid w:val="3EC6723B"/>
    <w:rsid w:val="434150E2"/>
    <w:rsid w:val="44C91833"/>
    <w:rsid w:val="46EE37D3"/>
    <w:rsid w:val="4A211429"/>
    <w:rsid w:val="4C3861B2"/>
    <w:rsid w:val="4E7B76FB"/>
    <w:rsid w:val="50D17AA6"/>
    <w:rsid w:val="51C11F8A"/>
    <w:rsid w:val="54E87AB4"/>
    <w:rsid w:val="57E22FF4"/>
    <w:rsid w:val="584414A5"/>
    <w:rsid w:val="5C8B76A2"/>
    <w:rsid w:val="5E443FAD"/>
    <w:rsid w:val="5EE94C5A"/>
    <w:rsid w:val="5F047298"/>
    <w:rsid w:val="603D3165"/>
    <w:rsid w:val="60746D32"/>
    <w:rsid w:val="61FE0917"/>
    <w:rsid w:val="66C8504F"/>
    <w:rsid w:val="67F51E74"/>
    <w:rsid w:val="704A2F79"/>
    <w:rsid w:val="70875508"/>
    <w:rsid w:val="757C5983"/>
    <w:rsid w:val="7BD36518"/>
    <w:rsid w:val="7DE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11</cp:revision>
  <cp:lastPrinted>2023-11-02T01:19:00Z</cp:lastPrinted>
  <dcterms:created xsi:type="dcterms:W3CDTF">2023-11-02T00:57:00Z</dcterms:created>
  <dcterms:modified xsi:type="dcterms:W3CDTF">2023-11-02T01:19:00Z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A7A59208E7C04BA58584B8A40AF11670_13</vt:lpwstr>
  </property>
</Properties>
</file>